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8"/>
          <w:szCs w:val="28"/>
        </w:rPr>
        <w:t>Per l’anno 2014, l’aliquota contributiva e di computo per i soggetti iscritti alla Gestione separata, già assicurati presso altre forme previdenziali obbligatorie o titolari di pensione, è elevata al 22%, mentre rimane ferma al 27% quella per i soggetti privi di altra tutela previdenziale obbligat</w:t>
      </w:r>
      <w:bookmarkStart w:id="0" w:name="_GoBack"/>
      <w:bookmarkEnd w:id="0"/>
      <w:r>
        <w:rPr>
          <w:sz w:val="28"/>
          <w:szCs w:val="28"/>
        </w:rPr>
        <w:t xml:space="preserve">oria, più lo 0,72% relativo al finanziamento di maternità, assegno per il nucleo familiare, degenza ospedaliera, malattia e congedo parentale. 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  <w:t>La ripartizione dell’onere contributivo tra collaboratore e committente è confermata nella misura, rispettivamente, di un terzo e due terzi, salvo il caso di associazione in partecipazione, nel quale la ripartizione tra associante ed associato è pari rispettivamente al 55 per cento e al 45 per cento dell’onere totale. Massimale di reddito e minimale per l’accredito contributivo per il 2014 sono, rispettivamente, di 100.123 euro e di 15.516 euro.</w:t>
      </w:r>
    </w:p>
    <w:p>
      <w:pPr>
        <w:pStyle w:val="style0"/>
        <w:spacing w:after="160" w:before="0" w:line="256" w:lineRule="auto"/>
        <w:ind w:hanging="0" w:left="0" w:right="0"/>
      </w:pPr>
      <w:r>
        <w:rPr/>
        <w:drawing>
          <wp:inline distB="0" distL="0" distR="0" distT="0">
            <wp:extent cx="928370" cy="34417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color w:val="000000"/>
          <w:sz w:val="13"/>
        </w:rPr>
        <w:t xml:space="preserve">Data news: 05/02/2014 </w:t>
      </w:r>
    </w:p>
    <w:p>
      <w:pPr>
        <w:pStyle w:val="style0"/>
        <w:spacing w:after="160" w:before="0" w:line="256" w:lineRule="auto"/>
        <w:ind w:hanging="0" w:left="0" w:right="0"/>
      </w:pPr>
      <w:r>
        <w:rPr>
          <w:rFonts w:ascii="Arial" w:cs="Arial" w:eastAsia="Arial" w:hAnsi="Arial"/>
          <w:b/>
          <w:color w:val="000000"/>
          <w:sz w:val="17"/>
        </w:rPr>
        <w:t>Titolo: Aliquote 2014 Gestione separata</w:t>
      </w:r>
    </w:p>
    <w:p>
      <w:pPr>
        <w:pStyle w:val="style0"/>
        <w:spacing w:after="12863" w:before="0" w:line="256" w:lineRule="auto"/>
        <w:ind w:hanging="0" w:left="0" w:right="0"/>
      </w:pPr>
      <w:r>
        <w:rPr>
          <w:sz w:val="28"/>
          <w:szCs w:val="28"/>
        </w:rPr>
        <w:t xml:space="preserve">Maggiori informazioni nella </w:t>
      </w:r>
      <w:hyperlink r:id="rId3">
        <w:r>
          <w:rPr>
            <w:rStyle w:val="style17"/>
            <w:b/>
            <w:color w:val="007EFF"/>
            <w:sz w:val="28"/>
            <w:szCs w:val="28"/>
            <w:u w:val="single"/>
          </w:rPr>
          <w:t>circolare n. 18 del 4 febbraio 2014</w:t>
        </w:r>
      </w:hyperlink>
    </w:p>
    <w:p>
      <w:pPr>
        <w:pStyle w:val="style0"/>
        <w:spacing w:after="349" w:before="144" w:line="256" w:lineRule="auto"/>
        <w:ind w:hanging="0" w:left="533" w:right="0"/>
      </w:pPr>
      <w:hyperlink r:id="rId4">
        <w:r>
          <w:rPr>
            <w:rStyle w:val="style17"/>
            <w:rFonts w:ascii="Arial" w:cs="Arial" w:eastAsia="Arial" w:hAnsi="Arial"/>
            <w:color w:val="0000EE"/>
            <w:u w:val="single"/>
          </w:rPr>
          <w:t>www.inps.it</w:t>
        </w:r>
      </w:hyperlink>
      <w:r>
        <w:rPr>
          <w:rFonts w:ascii="Arial" w:cs="Arial" w:eastAsia="Arial" w:hAnsi="Arial"/>
          <w:color w:val="000000"/>
        </w:rPr>
        <w:t xml:space="preserve"> :News &gt; Aliquote 2014 Gestione separata</w:t>
      </w:r>
    </w:p>
    <w:p>
      <w:pPr>
        <w:pStyle w:val="style1"/>
      </w:pPr>
      <w:r>
        <w:rPr/>
        <w:t xml:space="preserve">Pag. 1 di 1  </w:t>
      </w:r>
    </w:p>
    <w:sectPr>
      <w:type w:val="nextPage"/>
      <w:pgSz w:h="16838" w:w="11906"/>
      <w:pgMar w:bottom="1440" w:footer="0" w:gutter="0" w:header="0" w:left="704" w:right="711" w:top="1440"/>
      <w:pgNumType w:fmt="decimal"/>
      <w:formProt w:val="false"/>
      <w:textDirection w:val="lrTb"/>
      <w:docGrid w:charSpace="18431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  <w:spacing w:after="0" w:before="0" w:line="266" w:lineRule="auto"/>
      <w:ind w:hanging="0" w:left="0" w:right="409"/>
    </w:pPr>
    <w:rPr>
      <w:rFonts w:ascii="Verdana" w:cs="Verdana" w:eastAsia="Verdana" w:hAnsi="Verdana"/>
      <w:color w:val="333333"/>
      <w:sz w:val="15"/>
      <w:szCs w:val="22"/>
      <w:lang w:bidi="ar-SA" w:eastAsia="it-IT" w:val="it-IT"/>
    </w:rPr>
  </w:style>
  <w:style w:styleId="style1" w:type="paragraph">
    <w:name w:val="Intestazione 1"/>
    <w:basedOn w:val="style18"/>
    <w:next w:val="style19"/>
    <w:pPr>
      <w:keepNext/>
      <w:keepLines/>
      <w:widowControl/>
      <w:spacing w:after="0" w:before="240"/>
      <w:ind w:hanging="0" w:left="0" w:right="409"/>
      <w:jc w:val="right"/>
    </w:pPr>
    <w:rPr>
      <w:rFonts w:ascii="Arial" w:cs="Arial" w:eastAsia="Arial" w:hAnsi="Arial"/>
      <w:color w:val="000000"/>
      <w:sz w:val="20"/>
    </w:rPr>
  </w:style>
  <w:style w:styleId="style15" w:type="character">
    <w:name w:val="Default Paragraph Font"/>
    <w:next w:val="style15"/>
    <w:rPr/>
  </w:style>
  <w:style w:styleId="style16" w:type="character">
    <w:name w:val="Titolo 1 Carattere"/>
    <w:next w:val="style16"/>
    <w:rPr>
      <w:rFonts w:ascii="Arial" w:cs="Arial" w:eastAsia="Arial" w:hAnsi="Arial"/>
      <w:color w:val="000000"/>
      <w:sz w:val="20"/>
    </w:rPr>
  </w:style>
  <w:style w:styleId="style17" w:type="character">
    <w:name w:val="Collegamento Internet"/>
    <w:next w:val="style17"/>
    <w:rPr>
      <w:color w:val="000080"/>
      <w:u w:val="single"/>
      <w:lang w:bidi="it-IT" w:eastAsia="it-IT" w:val="it-IT"/>
    </w:rPr>
  </w:style>
  <w:style w:styleId="style18" w:type="paragraph">
    <w:name w:val="Intestazione"/>
    <w:basedOn w:val="style0"/>
    <w:next w:val="style19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9" w:type="paragraph">
    <w:name w:val="Corpo testo"/>
    <w:basedOn w:val="style0"/>
    <w:next w:val="style19"/>
    <w:pPr>
      <w:spacing w:after="120" w:before="0"/>
    </w:pPr>
    <w:rPr/>
  </w:style>
  <w:style w:styleId="style20" w:type="paragraph">
    <w:name w:val="Elenco"/>
    <w:basedOn w:val="style19"/>
    <w:next w:val="style20"/>
    <w:pPr/>
    <w:rPr>
      <w:rFonts w:cs="Lohit Hindi"/>
    </w:rPr>
  </w:style>
  <w:style w:styleId="style21" w:type="paragraph">
    <w:name w:val="Didascalia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Indice"/>
    <w:basedOn w:val="style0"/>
    <w:next w:val="style22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nps.it/portale/default.aspx?iMenu=1&amp;NewsId=2493&amp;sURL=%2Fcircolari%2FCircolare+numero+18+del+04-02-2014.htm" TargetMode="External"/><Relationship Id="rId4" Type="http://schemas.openxmlformats.org/officeDocument/2006/relationships/hyperlink" Target="http://www.inps.it/" TargetMode="Externa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2014-07-15T14:05:00.00Z</dcterms:created>
  <dc:creator>Laura Ricciardi</dc:creator>
  <cp:lastModifiedBy>Laura Ricciardi</cp:lastModifiedBy>
  <dcterms:modified xsi:type="dcterms:W3CDTF">2014-07-15T14:05:00.00Z</dcterms:modified>
  <cp:revision>2</cp:revision>
</cp:coreProperties>
</file>