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  <w:t xml:space="preserve">II  </w:t>
      </w:r>
    </w:p>
    <w:p>
      <w:pPr>
        <w:pStyle w:val="Normal"/>
        <w:spacing w:lineRule="auto" w:line="360"/>
        <w:jc w:val="center"/>
        <w:rPr>
          <w:b/>
          <w:sz w:val="28"/>
        </w:rPr>
      </w:pPr>
      <w:r>
        <w:rPr>
          <w:b/>
          <w:sz w:val="28"/>
        </w:rPr>
        <w:t>MODULISTICA</w:t>
      </w:r>
    </w:p>
    <w:p>
      <w:pPr>
        <w:pStyle w:val="Normal"/>
        <w:autoSpaceDE w:val="false"/>
        <w:rPr>
          <w:b/>
          <w:sz w:val="28"/>
        </w:rPr>
      </w:pPr>
      <w:r>
        <w:rPr>
          <w:b/>
          <w:sz w:val="28"/>
        </w:rPr>
        <w:t>PER LA REDAZIONE DEL DOCUMENTO DI VALUTAZIONE DEI RISCHI</w:t>
      </w:r>
    </w:p>
    <w:p>
      <w:pPr>
        <w:pStyle w:val="Normal"/>
        <w:autoSpaceDE w:val="false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autoSpaceDE w:val="false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pict>
          <v:rect fillcolor="#FFFFFF" style="position:absolute;width:403.6pt;height:562.65pt;mso-wrap-distance-left:7.05pt;mso-wrap-distance-right:7.05pt;margin-top:151.95pt;margin-left:39.15pt">
            <v:fill opacity="0f"/>
            <v:textbox>
              <w:txbxContent>
                <w:tbl>
                  <w:tblPr>
                    <w:jc w:val="left"/>
                    <w:tblInd w:w="108" w:type="dxa"/>
                    <w:tblBorders>
                      <w:top w:val="single" w:sz="12" w:space="0" w:color="000080"/>
                      <w:left w:val="single" w:sz="12" w:space="0" w:color="000080"/>
                      <w:bottom w:val="single" w:sz="12" w:space="0" w:color="000080"/>
                      <w:insideH w:val="single" w:sz="12" w:space="0" w:color="000080"/>
                      <w:right w:val="single" w:sz="12" w:space="0" w:color="000080"/>
                      <w:insideV w:val="single" w:sz="12" w:space="0" w:color="000080"/>
                    </w:tblBorders>
                    <w:tblCellMar>
                      <w:top w:w="0" w:type="dxa"/>
                      <w:left w:w="93" w:type="dxa"/>
                      <w:bottom w:w="0" w:type="dxa"/>
                      <w:right w:w="108" w:type="dxa"/>
                    </w:tblCellMar>
                  </w:tblPr>
                  <w:tblGrid>
                    <w:gridCol w:w="8072"/>
                  </w:tblGrid>
                  <w:tr>
                    <w:trPr>
                      <w:trHeight w:val="10503" w:hRule="atLeast"/>
                      <w:cantSplit w:val="false"/>
                    </w:trPr>
                    <w:tc>
                      <w:tcPr>
                        <w:tcW w:w="8072" w:type="dxa"/>
                        <w:tcBorders>
                          <w:top w:val="single" w:sz="12" w:space="0" w:color="000080"/>
                          <w:left w:val="single" w:sz="12" w:space="0" w:color="000080"/>
                          <w:bottom w:val="single" w:sz="12" w:space="0" w:color="000080"/>
                          <w:insideH w:val="single" w:sz="12" w:space="0" w:color="000080"/>
                          <w:right w:val="single" w:sz="12" w:space="0" w:color="000080"/>
                          <w:insideV w:val="single" w:sz="12" w:space="0" w:color="000080"/>
                        </w:tcBorders>
                        <w:shd w:fill="auto" w:val="clear"/>
                        <w:tcMar>
                          <w:left w:w="93" w:type="dxa"/>
                        </w:tcMar>
                      </w:tcPr>
                      <w:p>
                        <w:pPr>
                          <w:pStyle w:val="Normal"/>
                          <w:snapToGrid w:val="false"/>
                          <w:ind w:left="284" w:right="0" w:hanging="284"/>
                          <w:jc w:val="center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i/>
                            <w:sz w:val="36"/>
                          </w:rPr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i/>
                            <w:sz w:val="36"/>
                          </w:rPr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i/>
                            <w:sz w:val="36"/>
                          </w:rPr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i/>
                            <w:sz w:val="36"/>
                          </w:rPr>
                          <w:t>Azienda .....................</w:t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i/>
                            <w:sz w:val="36"/>
                          </w:rPr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i/>
                            <w:sz w:val="36"/>
                          </w:rPr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i/>
                            <w:sz w:val="36"/>
                          </w:rPr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i/>
                            <w:sz w:val="36"/>
                          </w:rPr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i/>
                            <w:sz w:val="36"/>
                          </w:rPr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i/>
                            <w:sz w:val="32"/>
                            <w:szCs w:val="32"/>
                          </w:rPr>
                          <w:t>DOCUMENTO DI VALUTAZIONE DEI RISCHI</w:t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shd w:fill="FFFF00" w:val="clear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  <w:shd w:fill="FFFF00" w:val="clear"/>
                          </w:rPr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Realizzato secondo le procedure standardizzate</w:t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ai sensi degli artt. 17, 28, 29  del D.Lgs. 81/08 e s.m.i.</w:t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Normal"/>
                          <w:ind w:left="284" w:right="0" w:hanging="284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Normal"/>
                          <w:ind w:left="597" w:right="0" w:hanging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Data</w:t>
                        </w:r>
                        <w:r>
                          <w:rPr>
                            <w:rStyle w:val="Caratteredellanota"/>
                            <w:b/>
                          </w:rPr>
                          <w:t>1</w:t>
                        </w:r>
                        <w:r>
                          <w:rPr>
                            <w:b/>
                          </w:rPr>
                          <w:t>, ………….</w:t>
                        </w:r>
                      </w:p>
                      <w:p>
                        <w:pPr>
                          <w:pStyle w:val="Normal"/>
                          <w:ind w:left="597" w:right="0" w:hanging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              </w:t>
                        </w:r>
                        <w:r>
                          <w:rPr>
                            <w:b/>
                          </w:rPr>
                          <w:t>Firma</w:t>
                        </w:r>
                      </w:p>
                      <w:p>
                        <w:pPr>
                          <w:pStyle w:val="Normal"/>
                          <w:ind w:left="597" w:right="0" w:hanging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</w:r>
                      </w:p>
                      <w:p>
                        <w:pPr>
                          <w:pStyle w:val="Normal"/>
                          <w:ind w:left="597" w:right="0" w:hanging="0"/>
                          <w:rPr/>
                        </w:pPr>
                        <w:r>
                          <w:rPr>
                            <w:b/>
                          </w:rPr>
                          <w:t>Datore di lavoro</w:t>
                        </w:r>
                        <w:r>
                          <w:rPr/>
                          <w:t xml:space="preserve">: </w:t>
                          <w:tab/>
                          <w:tab/>
                          <w:t xml:space="preserve"> …………………………..</w:t>
                        </w:r>
                      </w:p>
                      <w:p>
                        <w:pPr>
                          <w:pStyle w:val="Normal"/>
                          <w:ind w:left="597" w:right="0" w:hanging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</w:r>
                      </w:p>
                      <w:p>
                        <w:pPr>
                          <w:pStyle w:val="Normal"/>
                          <w:ind w:left="597" w:right="0" w:hanging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</w:r>
                      </w:p>
                      <w:p>
                        <w:pPr>
                          <w:pStyle w:val="Normal"/>
                          <w:ind w:left="597" w:right="0" w:hanging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RSPP                                        ……………………………</w:t>
                        </w:r>
                      </w:p>
                      <w:p>
                        <w:pPr>
                          <w:pStyle w:val="Normal"/>
                          <w:ind w:left="597" w:right="0" w:hanging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Medico Competente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(ove nominato)</w:t>
                        </w:r>
                        <w:r>
                          <w:rPr>
                            <w:b/>
                          </w:rPr>
                          <w:t>………………………</w:t>
                        </w:r>
                      </w:p>
                      <w:p>
                        <w:pPr>
                          <w:pStyle w:val="Normal"/>
                          <w:ind w:left="597" w:right="0" w:hanging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RLS/RLST</w:t>
                          <w:tab/>
                          <w:t xml:space="preserve">                        …………………………..</w:t>
                        </w:r>
                      </w:p>
                    </w:tc>
                  </w:tr>
                  <w:tr>
                    <w:trPr>
                      <w:trHeight w:val="318" w:hRule="atLeast"/>
                      <w:cantSplit w:val="false"/>
                    </w:trPr>
                    <w:tc>
                      <w:tcPr>
                        <w:tcW w:w="8072" w:type="dxa"/>
                        <w:tcBorders>
                          <w:top w:val="single" w:sz="12" w:space="0" w:color="000080"/>
                          <w:left w:val="single" w:sz="12" w:space="0" w:color="000080"/>
                          <w:bottom w:val="single" w:sz="12" w:space="0" w:color="000080"/>
                          <w:insideH w:val="single" w:sz="12" w:space="0" w:color="000080"/>
                          <w:right w:val="single" w:sz="12" w:space="0" w:color="000080"/>
                          <w:insideV w:val="single" w:sz="12" w:space="0" w:color="000080"/>
                        </w:tcBorders>
                        <w:shd w:fill="F3F3F3" w:val="clear"/>
                        <w:tcMar>
                          <w:left w:w="93" w:type="dxa"/>
                        </w:tcMar>
                      </w:tcPr>
                      <w:p>
                        <w:pPr>
                          <w:pStyle w:val="Normal"/>
                          <w:spacing w:lineRule="auto" w:line="3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Documento di valutazione dei rischi elaborato sulla  base delle</w:t>
                        </w:r>
                      </w:p>
                      <w:p>
                        <w:pPr>
                          <w:pStyle w:val="Normal"/>
                          <w:spacing w:lineRule="auto" w:line="3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istruzioni  di compilazione previste dal D.M….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Normal"/>
        <w:autoSpaceDE w:val="false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pageBreakBefore/>
        <w:spacing w:lineRule="auto" w:line="360"/>
        <w:ind w:left="284" w:right="0" w:hanging="284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left="284" w:right="0" w:hanging="284"/>
        <w:jc w:val="right"/>
        <w:rPr>
          <w:b/>
          <w:caps/>
          <w:sz w:val="28"/>
        </w:rPr>
      </w:pPr>
      <w:r>
        <w:rPr>
          <w:b/>
          <w:caps/>
          <w:sz w:val="28"/>
        </w:rPr>
        <w:t xml:space="preserve">MODULO N. 1.1 </w:t>
      </w:r>
    </w:p>
    <w:p>
      <w:pPr>
        <w:pStyle w:val="Normal"/>
        <w:ind w:left="360" w:right="0" w:hanging="0"/>
        <w:jc w:val="center"/>
        <w:rPr/>
      </w:pPr>
      <w:r>
        <w:rPr/>
      </w:r>
    </w:p>
    <w:p>
      <w:pPr>
        <w:pStyle w:val="Normal"/>
        <w:ind w:left="360" w:right="0" w:hanging="0"/>
        <w:jc w:val="center"/>
        <w:rPr/>
      </w:pPr>
      <w:r>
        <w:rPr/>
      </w:r>
    </w:p>
    <w:p>
      <w:pPr>
        <w:pStyle w:val="Normal"/>
        <w:ind w:left="360" w:right="0" w:hanging="0"/>
        <w:jc w:val="center"/>
        <w:rPr/>
      </w:pPr>
      <w:r>
        <w:rPr/>
      </w:r>
    </w:p>
    <w:p>
      <w:pPr>
        <w:pStyle w:val="Normal"/>
        <w:overflowPunct w:val="false"/>
        <w:autoSpaceDE w:val="false"/>
        <w:ind w:left="426" w:right="0" w:hanging="0"/>
        <w:textAlignment w:val="baseline"/>
        <w:rPr>
          <w:b/>
          <w:caps/>
          <w:sz w:val="28"/>
        </w:rPr>
      </w:pPr>
      <w:r>
        <w:rPr>
          <w:b/>
          <w:caps/>
          <w:sz w:val="28"/>
        </w:rPr>
        <w:t>DESCRIZIONE GENERALE DELL’AZIENDA</w:t>
      </w:r>
    </w:p>
    <w:p>
      <w:pPr>
        <w:pStyle w:val="Normal"/>
        <w:ind w:left="284" w:right="0" w:hanging="284"/>
        <w:jc w:val="right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DATI AZIENDALI</w:t>
      </w:r>
    </w:p>
    <w:p>
      <w:pPr>
        <w:pStyle w:val="Normal"/>
        <w:ind w:left="5400" w:right="0" w:hanging="0"/>
        <w:rPr/>
      </w:pPr>
      <w:r>
        <w:rPr/>
      </w:r>
    </w:p>
    <w:p>
      <w:pPr>
        <w:pStyle w:val="Normal"/>
        <w:numPr>
          <w:ilvl w:val="0"/>
          <w:numId w:val="25"/>
        </w:numPr>
        <w:rPr/>
      </w:pPr>
      <w:r>
        <w:rPr/>
        <w:t>Ragione sociale……………………………………………………………………………</w:t>
      </w:r>
    </w:p>
    <w:p>
      <w:pPr>
        <w:pStyle w:val="Normal"/>
        <w:numPr>
          <w:ilvl w:val="0"/>
          <w:numId w:val="25"/>
        </w:numPr>
        <w:rPr/>
      </w:pPr>
      <w:r>
        <w:rPr/>
        <w:t>Attività economica…………………………………………………………………………</w:t>
      </w:r>
    </w:p>
    <w:p>
      <w:pPr>
        <w:pStyle w:val="Normal"/>
        <w:numPr>
          <w:ilvl w:val="0"/>
          <w:numId w:val="25"/>
        </w:numPr>
        <w:rPr/>
      </w:pPr>
      <w:r>
        <w:rPr/>
        <w:t>Codice ATECO (facoltativo)………………………………………………………………</w:t>
      </w:r>
    </w:p>
    <w:p>
      <w:pPr>
        <w:pStyle w:val="Normal"/>
        <w:numPr>
          <w:ilvl w:val="0"/>
          <w:numId w:val="25"/>
        </w:numPr>
        <w:rPr/>
      </w:pPr>
      <w:r>
        <w:rPr/>
        <w:t>Nominativo del Titolare/Legale Rappresentante………………………..…………………</w:t>
      </w:r>
    </w:p>
    <w:p>
      <w:pPr>
        <w:pStyle w:val="Normal"/>
        <w:numPr>
          <w:ilvl w:val="0"/>
          <w:numId w:val="25"/>
        </w:numPr>
        <w:rPr/>
      </w:pPr>
      <w:r>
        <w:rPr/>
        <w:t>Indirizzo della sede legale………………………………………………………………..</w:t>
      </w:r>
    </w:p>
    <w:p>
      <w:pPr>
        <w:pStyle w:val="Normal"/>
        <w:numPr>
          <w:ilvl w:val="0"/>
          <w:numId w:val="25"/>
        </w:numPr>
        <w:rPr/>
      </w:pPr>
      <w:r>
        <w:rPr/>
        <w:t xml:space="preserve">Indirizzo del sito/i produttivo/i </w:t>
      </w:r>
      <w:r>
        <w:rPr>
          <w:sz w:val="20"/>
          <w:szCs w:val="20"/>
        </w:rPr>
        <w:t>(esclusi i cantieri temporanei e mobili – Titolo IV D.Lgs.81/08) .</w:t>
      </w:r>
      <w:r>
        <w:rPr/>
        <w:t>…………………………………………………………………………………………….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SISTEMA DI PREVENZIONE E PROTEZIONE AZIENDALE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4"/>
        </w:numPr>
        <w:rPr/>
      </w:pPr>
      <w:r>
        <w:rPr/>
        <w:t>Nominativo del Datore di Lavoro …………………………………………………………</w:t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  <w:t>I</w:t>
        <w:pict>
          <v:rect id="shape_0" fillcolor="white" stroked="t" style="position:absolute;margin-left:368.55pt;margin-top:0.2pt;width:11.2pt;height:14.2pt">
            <v:wrap v:type="none"/>
            <v:fill type="solid" color2="black" detectmouseclick="t"/>
            <v:stroke color="black" weight="9360" joinstyle="miter" endcap="square"/>
          </v:rect>
        </w:pict>
        <w:pict>
          <v:rect id="shape_0" fillcolor="white" stroked="t" style="position:absolute;margin-left:415.8pt;margin-top:0.2pt;width:11.2pt;height:14.2pt">
            <v:wrap v:type="none"/>
            <v:fill type="solid" color2="black" detectmouseclick="t"/>
            <v:stroke color="black" weight="9360" joinstyle="miter" endcap="square"/>
          </v:rect>
        </w:pict>
      </w:r>
      <w:r>
        <w:rPr/>
        <w:t>ndicare se svolge i compiti di SPP</w:t>
        <w:tab/>
        <w:tab/>
        <w:tab/>
        <w:tab/>
        <w:tab/>
        <w:t xml:space="preserve">Sì           No </w:t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numPr>
          <w:ilvl w:val="0"/>
          <w:numId w:val="14"/>
        </w:numPr>
        <w:rPr/>
      </w:pPr>
      <w:r>
        <w:rPr/>
        <w:t>N</w:t>
        <w:pict>
          <v:rect id="shape_0" fillcolor="white" stroked="t" style="position:absolute;margin-left:394.8pt;margin-top:14.6pt;width:11.2pt;height:10.45pt">
            <v:wrap v:type="none"/>
            <v:fill type="solid" color2="black" detectmouseclick="t"/>
            <v:stroke color="black" weight="9360" joinstyle="miter" endcap="square"/>
          </v:rect>
        </w:pict>
        <w:pict>
          <v:rect id="shape_0" fillcolor="white" stroked="t" style="position:absolute;margin-left:447.3pt;margin-top:14.6pt;width:11.2pt;height:10.45pt">
            <v:wrap v:type="none"/>
            <v:fill type="solid" color2="black" detectmouseclick="t"/>
            <v:stroke color="black" weight="9360" joinstyle="miter" endcap="square"/>
          </v:rect>
        </w:pict>
      </w:r>
      <w:r>
        <w:rPr/>
        <w:t xml:space="preserve">ominativo del Responsabile del Servizio di Prevenzione e Protezione dai rischi se diverso dal datore di lavoro..………………………………………………. interno      esterno </w:t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numPr>
          <w:ilvl w:val="0"/>
          <w:numId w:val="14"/>
        </w:numPr>
        <w:rPr/>
      </w:pPr>
      <w:r>
        <w:rPr/>
        <w:t>Nominativi degli addetti al Servizio di Prevenzione e Protezione dai rischi, se presenti…………………………………………………………………………………….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numPr>
          <w:ilvl w:val="1"/>
          <w:numId w:val="14"/>
        </w:numPr>
        <w:tabs>
          <w:tab w:val="left" w:pos="720" w:leader="none"/>
        </w:tabs>
        <w:autoSpaceDE w:val="false"/>
        <w:ind w:left="1363" w:right="0" w:hanging="1003"/>
        <w:rPr/>
      </w:pPr>
      <w:r>
        <w:rPr/>
        <w:t>Nominativi degli addetti al Servizio di Pronto Soccorso.....................................................</w:t>
      </w:r>
    </w:p>
    <w:p>
      <w:pPr>
        <w:pStyle w:val="Normal"/>
        <w:autoSpaceDE w:val="false"/>
        <w:rPr/>
      </w:pPr>
      <w:r>
        <w:rPr/>
        <w:t xml:space="preserve">            </w:t>
      </w:r>
      <w:r>
        <w:rPr/>
        <w:t>..............................................................................................................................................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rPr/>
      </w:pPr>
      <w:r>
        <w:rPr/>
      </w:r>
    </w:p>
    <w:p>
      <w:pPr>
        <w:pStyle w:val="Normal"/>
        <w:numPr>
          <w:ilvl w:val="0"/>
          <w:numId w:val="12"/>
        </w:numPr>
        <w:tabs>
          <w:tab w:val="left" w:pos="720" w:leader="none"/>
        </w:tabs>
        <w:autoSpaceDE w:val="false"/>
        <w:ind w:left="1363" w:right="0" w:hanging="1003"/>
        <w:rPr/>
      </w:pPr>
      <w:r>
        <w:rPr/>
        <w:t>Nominativi degli addetti al Servizio di Antincendio ed Evacuazione ...............................</w:t>
      </w:r>
    </w:p>
    <w:p>
      <w:pPr>
        <w:pStyle w:val="Normal"/>
        <w:rPr/>
      </w:pPr>
      <w:r>
        <w:rPr/>
        <w:t xml:space="preserve">            </w:t>
      </w:r>
      <w:r>
        <w:rPr/>
        <w:t>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4"/>
        </w:numPr>
        <w:rPr/>
      </w:pPr>
      <w:r>
        <w:rPr/>
        <w:t>Nominativo del Medico competente (ove nominato)……………………………………..</w:t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numPr>
          <w:ilvl w:val="0"/>
          <w:numId w:val="14"/>
        </w:numPr>
        <w:rPr/>
      </w:pPr>
      <w:r>
        <w:rPr/>
        <w:t>Nominativo del RLS/RLST………………………………………………………………..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180"/>
        <w:rPr>
          <w:b/>
          <w:color w:val="FF6600"/>
        </w:rPr>
      </w:pPr>
      <w:r>
        <w:rPr>
          <w:b/>
          <w:color w:val="FF6600"/>
        </w:rPr>
      </w:r>
    </w:p>
    <w:p>
      <w:pPr>
        <w:pStyle w:val="Normal"/>
        <w:ind w:left="0" w:right="0" w:firstLine="180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7080" w:right="0" w:hanging="0"/>
        <w:rPr>
          <w:b/>
          <w:caps/>
          <w:sz w:val="28"/>
        </w:rPr>
      </w:pPr>
      <w:r>
        <w:rPr>
          <w:b/>
          <w:caps/>
          <w:sz w:val="28"/>
        </w:rPr>
        <w:t xml:space="preserve">MODULO N. 1.2 </w:t>
      </w:r>
    </w:p>
    <w:p>
      <w:pPr>
        <w:pStyle w:val="Normal"/>
        <w:ind w:left="284" w:right="0" w:hanging="284"/>
        <w:jc w:val="right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tabs>
          <w:tab w:val="left" w:pos="2535" w:leader="none"/>
        </w:tabs>
        <w:ind w:left="284" w:right="0" w:hanging="284"/>
        <w:rPr>
          <w:b/>
          <w:caps/>
          <w:sz w:val="28"/>
        </w:rPr>
      </w:pPr>
      <w:r>
        <w:rPr>
          <w:b/>
          <w:caps/>
          <w:sz w:val="28"/>
        </w:rPr>
        <w:tab/>
        <w:tab/>
      </w:r>
    </w:p>
    <w:p>
      <w:pPr>
        <w:pStyle w:val="Normal"/>
        <w:tabs>
          <w:tab w:val="left" w:pos="2535" w:leader="none"/>
        </w:tabs>
        <w:ind w:left="284" w:right="0" w:hanging="284"/>
        <w:jc w:val="center"/>
        <w:rPr>
          <w:b/>
          <w:caps/>
          <w:sz w:val="28"/>
        </w:rPr>
      </w:pPr>
      <w:r>
        <w:rPr>
          <w:b/>
          <w:caps/>
          <w:sz w:val="28"/>
        </w:rPr>
        <w:t>lavorazioni aziendali e mansioni</w:t>
      </w:r>
    </w:p>
    <w:p>
      <w:pPr>
        <w:pStyle w:val="Normal"/>
        <w:tabs>
          <w:tab w:val="left" w:pos="2535" w:leader="none"/>
        </w:tabs>
        <w:ind w:left="284" w:right="0" w:hanging="284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autoSpaceDE w:val="false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autoSpaceDE w:val="false"/>
        <w:jc w:val="both"/>
        <w:rPr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52"/>
        <w:gridCol w:w="1851"/>
        <w:gridCol w:w="1234"/>
        <w:gridCol w:w="2262"/>
        <w:gridCol w:w="2057"/>
        <w:gridCol w:w="1327"/>
      </w:tblGrid>
      <w:tr>
        <w:trPr>
          <w:trHeight w:val="939" w:hRule="atLeast"/>
          <w:cantSplit w:val="false"/>
        </w:trPr>
        <w:tc>
          <w:tcPr>
            <w:tcW w:w="9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autoSpaceDE w:val="false"/>
              <w:ind w:left="-83" w:right="-6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Ciclo lavorativo/attività:________________________________</w:t>
            </w:r>
          </w:p>
        </w:tc>
      </w:tr>
      <w:tr>
        <w:trPr>
          <w:trHeight w:val="296" w:hRule="atLeast"/>
          <w:cantSplit w:val="false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autoSpaceDE w:val="false"/>
              <w:ind w:left="-84" w:right="-7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autoSpaceDE w:val="false"/>
              <w:ind w:left="0" w:right="-7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autoSpaceDE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autoSpaceDE w:val="false"/>
              <w:ind w:left="-96" w:right="-7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autoSpaceDE w:val="false"/>
              <w:ind w:left="-88" w:right="-9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autoSpaceDE w:val="false"/>
              <w:ind w:left="-83" w:right="-6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>
        <w:trPr>
          <w:trHeight w:val="1527" w:hRule="atLeast"/>
          <w:cantSplit w:val="false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84" w:right="-7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Fasi del ciclo lavorativo/attività</w:t>
            </w:r>
          </w:p>
          <w:p>
            <w:pPr>
              <w:pStyle w:val="Normal"/>
              <w:autoSpaceDE w:val="false"/>
              <w:ind w:left="-42" w:right="-6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0" w:right="-7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Descrizione Fasi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Area/</w:t>
            </w:r>
          </w:p>
          <w:p>
            <w:pPr>
              <w:pStyle w:val="Normal"/>
              <w:autoSpaceDE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Reparto/Luogo di lavoro</w:t>
            </w:r>
          </w:p>
          <w:p>
            <w:pPr>
              <w:pStyle w:val="Normal"/>
              <w:autoSpaceDE w:val="false"/>
              <w:ind w:left="-84" w:right="-78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96" w:right="-72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Attrezzature di lavoro – macchine, apparecchi,  utensili, ed impianti (di produzione e servizio)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88" w:right="-9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Materie prime,  semilavorati e sostanze impiegati e prodotti.</w:t>
            </w:r>
          </w:p>
          <w:p>
            <w:pPr>
              <w:pStyle w:val="Normal"/>
              <w:autoSpaceDE w:val="false"/>
              <w:ind w:left="-88" w:right="-9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Scarti di lavorazione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83" w:right="-6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Mansioni/</w:t>
            </w:r>
          </w:p>
          <w:p>
            <w:pPr>
              <w:pStyle w:val="Normal"/>
              <w:autoSpaceDE w:val="false"/>
              <w:ind w:left="-83" w:right="-61" w:hang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Postazioni</w:t>
            </w:r>
          </w:p>
        </w:tc>
      </w:tr>
      <w:tr>
        <w:trPr>
          <w:trHeight w:val="939" w:hRule="atLeast"/>
          <w:cantSplit w:val="false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42" w:right="-6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4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0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96" w:right="-7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8" w:right="-9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3" w:right="-6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</w:tr>
      <w:tr>
        <w:trPr>
          <w:trHeight w:val="939" w:hRule="atLeast"/>
          <w:cantSplit w:val="false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42" w:right="-6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4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0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96" w:right="-7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8" w:right="-9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3" w:right="-6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</w:tr>
      <w:tr>
        <w:trPr>
          <w:trHeight w:val="939" w:hRule="atLeast"/>
          <w:cantSplit w:val="false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42" w:right="-6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4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4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96" w:right="-7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8" w:right="-9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3" w:right="-6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</w:tr>
      <w:tr>
        <w:trPr>
          <w:trHeight w:val="939" w:hRule="atLeast"/>
          <w:cantSplit w:val="false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42" w:right="-6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4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4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96" w:right="-7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8" w:right="-9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3" w:right="-6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</w:tr>
      <w:tr>
        <w:trPr>
          <w:trHeight w:val="939" w:hRule="atLeast"/>
          <w:cantSplit w:val="false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42" w:right="-6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4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4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96" w:right="-7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8" w:right="-9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3" w:right="-6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</w:tr>
      <w:tr>
        <w:trPr>
          <w:trHeight w:val="939" w:hRule="atLeast"/>
          <w:cantSplit w:val="false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42" w:right="-6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4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4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96" w:right="-7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8" w:right="-9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3" w:right="-6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</w:tr>
      <w:tr>
        <w:trPr>
          <w:trHeight w:val="939" w:hRule="atLeast"/>
          <w:cantSplit w:val="false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42" w:right="-6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4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4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96" w:right="-7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8" w:right="-9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3" w:right="-6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</w:tr>
      <w:tr>
        <w:trPr>
          <w:trHeight w:val="939" w:hRule="atLeast"/>
          <w:cantSplit w:val="false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42" w:right="-6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4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4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96" w:right="-7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8" w:right="-9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3" w:right="-6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</w:tr>
      <w:tr>
        <w:trPr>
          <w:trHeight w:val="939" w:hRule="atLeast"/>
          <w:cantSplit w:val="false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42" w:right="-6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4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4" w:right="-78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96" w:right="-72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8" w:right="-9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ind w:left="-83" w:right="-61" w:hanging="0"/>
              <w:jc w:val="both"/>
              <w:rPr>
                <w:b/>
                <w:bCs/>
                <w:color w:val="000000"/>
                <w:shd w:fill="FFFF00" w:val="clear"/>
              </w:rPr>
            </w:pPr>
            <w:r>
              <w:rPr>
                <w:b/>
                <w:bCs/>
                <w:color w:val="000000"/>
                <w:shd w:fill="FFFF00" w:val="clear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134" w:right="1134" w:header="0" w:top="1418" w:footer="708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left" w:pos="3315" w:leader="none"/>
        </w:tabs>
        <w:rPr>
          <w:b/>
        </w:rPr>
      </w:pPr>
      <w:r>
        <w:rPr>
          <w:b/>
        </w:rPr>
      </w:r>
    </w:p>
    <w:p>
      <w:pPr>
        <w:pStyle w:val="Normal"/>
        <w:ind w:left="284" w:right="0" w:hanging="284"/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Modulo n. 2</w:t>
      </w:r>
    </w:p>
    <w:p>
      <w:pPr>
        <w:pStyle w:val="Normal"/>
        <w:tabs>
          <w:tab w:val="left" w:pos="3315" w:leader="none"/>
        </w:tabs>
        <w:ind w:left="284" w:right="0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3315" w:leader="none"/>
        </w:tabs>
        <w:ind w:left="284" w:right="0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INDIVIDUAZIONE DEI PERICOLI PRESENTI IN AZIENDA</w:t>
      </w:r>
    </w:p>
    <w:p>
      <w:pPr>
        <w:pStyle w:val="Normal"/>
        <w:tabs>
          <w:tab w:val="left" w:pos="3315" w:leader="none"/>
        </w:tabs>
        <w:ind w:left="284" w:right="0" w:hanging="284"/>
        <w:jc w:val="center"/>
        <w:rPr>
          <w:b/>
          <w:caps/>
          <w:sz w:val="28"/>
        </w:rPr>
      </w:pPr>
      <w:r>
        <w:rPr>
          <w:b/>
          <w:caps/>
          <w:sz w:val="28"/>
        </w:rPr>
      </w:r>
    </w:p>
    <w:tbl>
      <w:tblPr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72"/>
        <w:gridCol w:w="2210"/>
        <w:gridCol w:w="506"/>
        <w:gridCol w:w="506"/>
        <w:gridCol w:w="1600"/>
        <w:gridCol w:w="3371"/>
      </w:tblGrid>
      <w:tr>
        <w:trPr>
          <w:trHeight w:val="336" w:hRule="atLeast"/>
          <w:cantSplit w:val="tru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>
        <w:trPr>
          <w:trHeight w:val="1969" w:hRule="atLeast"/>
          <w:cantSplit w:val="tru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Famiglia di pericoli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Pericoli</w:t>
            </w:r>
          </w:p>
          <w:p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b/>
              </w:rPr>
            </w:pPr>
            <w:r>
              <w:rPr>
                <w:b/>
              </w:rPr>
              <w:t>Pericoli  presenti</w:t>
            </w:r>
          </w:p>
          <w:p>
            <w:pPr>
              <w:pStyle w:val="Normal"/>
              <w:ind w:left="113" w:right="113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b/>
              </w:rPr>
            </w:pPr>
            <w:r>
              <w:rPr>
                <w:b/>
              </w:rPr>
              <w:t>Pericoli  non  presenti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Riferimenti legislativi</w:t>
            </w:r>
          </w:p>
          <w:p>
            <w:pPr>
              <w:pStyle w:val="Normal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Esempi di incidenti e di criticità</w:t>
            </w:r>
          </w:p>
        </w:tc>
      </w:tr>
      <w:tr>
        <w:trPr>
          <w:trHeight w:val="834" w:hRule="atLeast"/>
          <w:cantSplit w:val="false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Luoghi di lavoro: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al chiuso (anche in riferimento ai locali sotterranei art. 65)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all’aperto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N.B.: Tenere conto  dei lavoratori disabili art.63 comma2-3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Stabilità e solidità delle strutture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  e s.m.i. (Allegato IV)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Crollo di pareti o solai per cedimenti strutturali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Crollo di strutture causate da urti da parte di mezzi aziendali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Altezza, cubatura, superficie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 s.m.i. (Allegato IV)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normativa locale vigente</w:t>
            </w:r>
          </w:p>
          <w:p>
            <w:pPr>
              <w:pStyle w:val="Normal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Mancata salubrità o ergonomicità legate ad insufficienti dimensioni degli ambienti </w:t>
            </w:r>
          </w:p>
          <w:p>
            <w:pPr>
              <w:pStyle w:val="Normal"/>
              <w:tabs>
                <w:tab w:val="left" w:pos="0" w:leader="none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Pavimenti, muri, soffitti, finestre e lucernari, banchine e rampe di carico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 s.m.i. (Allegato IV)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Cadute dall’alto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Cadute in piano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Cadute in profondità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0" w:leader="none"/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Urti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Vie di circolazione interne ed esterne </w:t>
            </w:r>
          </w:p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(utilizzate per :</w:t>
            </w:r>
          </w:p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-raggiungere il posto di lavoro</w:t>
            </w:r>
          </w:p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fare manutenzione agli impianti)</w:t>
            </w:r>
          </w:p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 s.m.i. (Allegato IV)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0" w:leader="none"/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Cadute dall’alto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0" w:leader="none"/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Cadute in piano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0" w:leader="none"/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Cadute in profondità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0" w:leader="none"/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Contatto con mezzi in movimento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0" w:leader="none"/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Caduta di materiali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Vie e uscite di emergenza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 (Allegato IV)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DM 10/03/98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Regole tecniche di prevenzione incendi applicabili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 Lgs. 8/3/2006 n. 139, art. 15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5"/>
              </w:numPr>
              <w:tabs>
                <w:tab w:val="left" w:pos="0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 di esodo non facilmente fruibili</w:t>
            </w:r>
          </w:p>
        </w:tc>
      </w:tr>
      <w:tr>
        <w:trPr>
          <w:trHeight w:val="776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Porte e portoni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 (Allegato IV)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DM 10/03/98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Regole tecniche di prevenzione incendi applicabili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 Lgs. 8/3/2006 n. 139, art. 15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5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Urti, schiacciamento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Uscite non facilmente fruibili 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Scale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 (Allegato IV punto 1.7;Titolo IV capo II ; art.113)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-DM 10/03/98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Regole tecniche di prevenzione incendi applicabili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 Lgs. 8/3/2006 n. 139, art. 15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1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Cadute;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Difficoltà nell’esodo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Posti di lavoro e di passaggio e luoghi di lavoro esterni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 (Allegato IV)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1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Caduta, investimento da materiali e mezzi in movimento; 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left" w:pos="143" w:leader="none"/>
              </w:tabs>
              <w:ind w:left="143" w:right="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ad agenti atmosferici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Microclima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 (Allegato IV)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0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 condizioni microclimatiche non confortevoli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left" w:pos="143" w:leader="none"/>
              </w:tabs>
              <w:ind w:left="179" w:right="0" w:hanging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Assenza di impianto di riscaldamento</w:t>
            </w:r>
          </w:p>
          <w:p>
            <w:pPr>
              <w:pStyle w:val="Normal"/>
              <w:numPr>
                <w:ilvl w:val="0"/>
                <w:numId w:val="10"/>
              </w:numPr>
              <w:tabs>
                <w:tab w:val="left" w:pos="143" w:leader="none"/>
              </w:tabs>
              <w:ind w:left="179" w:right="0" w:hanging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Carenza di areazione naturale e/o forzata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Illuminazione naturale e artificiale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 (Allegato IV)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DM 10/03/98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Regole tecniche di prevenzione incendi applicabili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 Lgs. 8/3/2006 n. 139, art. 15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8"/>
              </w:numPr>
              <w:tabs>
                <w:tab w:val="left" w:pos="143" w:leader="none"/>
              </w:tabs>
              <w:ind w:left="179" w:right="0" w:hanging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Carenza di illuminazione naturale</w:t>
            </w:r>
          </w:p>
          <w:p>
            <w:pPr>
              <w:pStyle w:val="Normal"/>
              <w:numPr>
                <w:ilvl w:val="0"/>
                <w:numId w:val="18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Abbagliamento</w:t>
            </w:r>
          </w:p>
          <w:p>
            <w:pPr>
              <w:pStyle w:val="Normal"/>
              <w:numPr>
                <w:ilvl w:val="0"/>
                <w:numId w:val="18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Affaticamento visivo</w:t>
            </w:r>
          </w:p>
          <w:p>
            <w:pPr>
              <w:pStyle w:val="Normal"/>
              <w:numPr>
                <w:ilvl w:val="0"/>
                <w:numId w:val="18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Urti </w:t>
            </w:r>
          </w:p>
          <w:p>
            <w:pPr>
              <w:pStyle w:val="Normal"/>
              <w:numPr>
                <w:ilvl w:val="0"/>
                <w:numId w:val="18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Cadute</w:t>
            </w:r>
          </w:p>
          <w:p>
            <w:pPr>
              <w:pStyle w:val="Normal"/>
              <w:numPr>
                <w:ilvl w:val="0"/>
                <w:numId w:val="18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Difficoltà nell’esodo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Locali di riposo e refezione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 (Allegato IV)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Normativa locale vigente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7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Scarse condizioni di igiene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Inadeguata conservazione di cibi e bevande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Spogliatoi e armadi per il vestiario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 (Allegato IV)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Normativa locale vigente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3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Scarse condizioni di igiene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e capacità inadeguati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Possibile contaminazione degli indumenti privati con quelli di lavoro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Servizi igienico assistenziali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 (Allegato IV)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Normativa locale vigente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3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Scarse condizioni di igiene;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e dimensioni inadeguati 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Dormitori</w:t>
            </w:r>
          </w:p>
          <w:p>
            <w:pPr>
              <w:pStyle w:val="Normal"/>
              <w:autoSpaceDE w:val="false"/>
              <w:ind w:left="-64" w:right="-108" w:hanging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 (Allegato IV)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Normativa locale vigente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DM 10/03/98 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D. Lgs. 8/3/2006 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n. 139, art. 15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DPR 151/2011 All. I  punto  66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2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Scarsa difesa da agenti atmosferici</w:t>
            </w:r>
          </w:p>
          <w:p>
            <w:pPr>
              <w:pStyle w:val="Normal"/>
              <w:numPr>
                <w:ilvl w:val="0"/>
                <w:numId w:val="22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Incendio 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Aziende agricole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 s.m.i. (Allegato IV, punto 6)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3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scarse condizioni di igiene;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 idrici o igienici inadeguati</w:t>
            </w:r>
          </w:p>
          <w:p>
            <w:pPr>
              <w:pStyle w:val="Normal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Ambienti confinati o a sospetto rischio di inquinamento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Vasche, canalizzazioni, tubazioni, serbatoi, recipienti, silos.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Pozzi neri, fogne, camini, fosse, gallerie, caldaie e simili.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Scavi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 xml:space="preserve">-  D.Lgs. 81/08 s.m.i. (Allegato IV punto 3, 4; Titolo XI ; artt. </w:t>
            </w:r>
            <w:r>
              <w:rPr>
                <w:sz w:val="20"/>
                <w:szCs w:val="20"/>
                <w:lang w:val="de-DE"/>
              </w:rPr>
              <w:t>66 e 121)</w:t>
            </w:r>
          </w:p>
          <w:p>
            <w:pPr>
              <w:pStyle w:val="Normal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- DM 10/03/98 </w:t>
            </w:r>
          </w:p>
          <w:p>
            <w:pPr>
              <w:pStyle w:val="Normal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- D. Lgs 8/3/2006</w:t>
            </w:r>
          </w:p>
          <w:p>
            <w:pPr>
              <w:pStyle w:val="Normal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 </w:t>
            </w:r>
            <w:r>
              <w:rPr>
                <w:sz w:val="20"/>
                <w:szCs w:val="20"/>
                <w:lang w:val="de-DE"/>
              </w:rPr>
              <w:t>n. 139, art. 15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DPR 177/2011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8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Caduta in profondità</w:t>
            </w:r>
          </w:p>
          <w:p>
            <w:pPr>
              <w:pStyle w:val="Normal"/>
              <w:numPr>
                <w:ilvl w:val="0"/>
                <w:numId w:val="28"/>
              </w:numPr>
              <w:tabs>
                <w:tab w:val="left" w:pos="143" w:leader="none"/>
              </w:tabs>
              <w:ind w:left="179" w:right="0" w:hanging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Problematiche di primo soccorso e gestione dell’emergenza</w:t>
            </w:r>
          </w:p>
          <w:p>
            <w:pPr>
              <w:pStyle w:val="Normal"/>
              <w:numPr>
                <w:ilvl w:val="0"/>
                <w:numId w:val="28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Insufficienza di ossigeno</w:t>
            </w:r>
          </w:p>
          <w:p>
            <w:pPr>
              <w:pStyle w:val="Normal"/>
              <w:numPr>
                <w:ilvl w:val="0"/>
                <w:numId w:val="28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Atmosfere irrespirabili </w:t>
            </w:r>
          </w:p>
          <w:p>
            <w:pPr>
              <w:pStyle w:val="Normal"/>
              <w:numPr>
                <w:ilvl w:val="0"/>
                <w:numId w:val="28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Incendio ed esplosione</w:t>
            </w:r>
          </w:p>
          <w:p>
            <w:pPr>
              <w:pStyle w:val="Normal"/>
              <w:numPr>
                <w:ilvl w:val="0"/>
                <w:numId w:val="28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Contatto con fluidi  pericolosi</w:t>
            </w:r>
          </w:p>
          <w:p>
            <w:pPr>
              <w:pStyle w:val="Normal"/>
              <w:numPr>
                <w:ilvl w:val="0"/>
                <w:numId w:val="28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Urto con elementi strutturali</w:t>
            </w:r>
          </w:p>
          <w:p>
            <w:pPr>
              <w:pStyle w:val="Normal"/>
              <w:numPr>
                <w:ilvl w:val="0"/>
                <w:numId w:val="28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Seppellimento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 quota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Attrezzature per lavori in quota (ponteggi, scale portatili, trabattelli, cavalletti, piattaforme elevabili, ecc.)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D.Lgs. 81/08 s.m.i. (Titolo IV, capo II (ove applicabile);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113;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Allegato XX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1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Caduta dall’alto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Scivolamento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Caduta di materiali</w:t>
            </w:r>
          </w:p>
          <w:p>
            <w:pPr>
              <w:pStyle w:val="Normal"/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</w:r>
          </w:p>
          <w:p>
            <w:pPr>
              <w:pStyle w:val="Normal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Impianti di servizio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Impianti elettrici</w:t>
            </w:r>
          </w:p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(circuiti di alimentazione degli apparecchi utilizzatori e delle prese a spina;  cabine di trasformazione; gruppi elettrogeni, sistemi fotovoltaici, gruppi di continuità, ecc.;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- D.Lgs. 81/08  </w:t>
            </w:r>
            <w:r>
              <w:rPr>
                <w:sz w:val="20"/>
                <w:szCs w:val="20"/>
              </w:rPr>
              <w:t>s.m.i.</w:t>
            </w:r>
          </w:p>
          <w:p>
            <w:pPr>
              <w:pStyle w:val="Normal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(Tit III capo III)</w:t>
            </w:r>
          </w:p>
          <w:p>
            <w:pPr>
              <w:pStyle w:val="Normal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- DM 37/08</w:t>
            </w:r>
          </w:p>
          <w:p>
            <w:pPr>
              <w:pStyle w:val="Normal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- D.Lgs 626/96</w:t>
            </w:r>
          </w:p>
          <w:p>
            <w:pPr>
              <w:pStyle w:val="Normal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</w:t>
            </w:r>
            <w:r>
              <w:rPr>
                <w:sz w:val="20"/>
                <w:szCs w:val="20"/>
                <w:lang w:val="de-DE"/>
              </w:rPr>
              <w:t>(Dir. BT)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 xml:space="preserve">- </w:t>
            </w:r>
            <w:r>
              <w:rPr>
                <w:sz w:val="20"/>
                <w:szCs w:val="20"/>
              </w:rPr>
              <w:t>DPR 462/01</w:t>
            </w:r>
          </w:p>
          <w:p>
            <w:pPr>
              <w:pStyle w:val="Normal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DM  13/07/2011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-DM 10/03/98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Regole tecniche di prevenzione incendi applicabili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D. Lgs. 8/3/2006 n. 139, art. 15</w:t>
            </w:r>
          </w:p>
          <w:p>
            <w:pPr>
              <w:pStyle w:val="Norma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9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Incidenti di natura elettrica (folgorazione, incendio, innesco di esplosioni)</w:t>
            </w:r>
          </w:p>
        </w:tc>
      </w:tr>
      <w:tr>
        <w:trPr>
          <w:trHeight w:val="1391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Impianti radiotelevisivi, antenne, impianti elettronici</w:t>
            </w:r>
          </w:p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(impianti di segnalazione, allarme, trasmissione dati, ecc. alimentati con valori di tensione fino a 50 V in corrente alternata e 120 V in corrente continua)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D.Lgs. 81/08  s.m.i. (Tit. </w:t>
            </w:r>
            <w:r>
              <w:rPr>
                <w:sz w:val="20"/>
                <w:szCs w:val="20"/>
                <w:lang w:val="en-US"/>
              </w:rPr>
              <w:t>III capo III)</w:t>
            </w:r>
          </w:p>
          <w:p>
            <w:pPr>
              <w:pStyle w:val="Normal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de-DE"/>
              </w:rPr>
              <w:t>DM 37/08</w:t>
            </w:r>
          </w:p>
          <w:p>
            <w:pPr>
              <w:pStyle w:val="Normal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- D.Lgs. 626/96</w:t>
            </w:r>
          </w:p>
          <w:p>
            <w:pPr>
              <w:pStyle w:val="Normal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 </w:t>
            </w:r>
            <w:r>
              <w:rPr>
                <w:sz w:val="20"/>
                <w:szCs w:val="20"/>
                <w:lang w:val="de-DE"/>
              </w:rPr>
              <w:t>(Dir.BT)</w:t>
            </w:r>
          </w:p>
          <w:p>
            <w:pPr>
              <w:pStyle w:val="Normal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1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Incidenti di natura elettrica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Esposizione a campi elettromagnetici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Impianti di riscaldamento, di climatizzazione, di condizionamento e di refrigerazione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 81/08  s.m.i. (Tit.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III capo I e III)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DM 37/08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D.Lgs 17/10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D.M. 01/12/1975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DPR 412/93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DM 17/03/03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Dlgs 311/06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D.Lgs. 93/00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DM 329/04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DPR 661/96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DM 12/04/1996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DM 28/04/2005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DM 10/03/98 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- RD 9/01/ 1927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8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Incidenti di natura elettrica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Scoppio di apparecchiature in pressione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Incendio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Esplosione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Emissione di inquinanti 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3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Esposizione ad agenti biologici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Incidenti di natura meccanica (tagli schiacciamento, ecc)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Impianti idrici e sanitari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  (Tit. III capo I)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DM 37/08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 93/00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Esposizione ad agenti biologici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Scoppio di apparecchiature in pressione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Impianti di distribuzione e utilizzazione di gas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D.Lg.s 81/08  s.m.i. (Tit. III capo I e III)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DM 37/08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Legge n. 1083 del 1971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D.Lgs. 93/00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DM 329/04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Regole tecniche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di prevenzione incendi applicabili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Incendio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Esplosione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Scoppio di apparecchiature in pressione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Emissione di inquinanti 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Impianti di sollevamento</w:t>
            </w:r>
          </w:p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(ascensori, montacarichi, scale mobili, piattaforme elevatrici, montascale)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D.Lgs. 81/08 s.m.i. 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(Tit. III capo I e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da-DK"/>
              </w:rPr>
              <w:t>III)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DM 37/08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DPR 162/99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D.Lgs 17/10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DM 15/09/2005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6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Incidenti di natura meccanica (schiacciamento, caduta, ecc.)</w:t>
            </w:r>
          </w:p>
          <w:p>
            <w:pPr>
              <w:pStyle w:val="Normal"/>
              <w:numPr>
                <w:ilvl w:val="0"/>
                <w:numId w:val="26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Incidenti di natura elettrica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Attrezzature di lavoro -  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Impianti di produzione, apparecchi e macchinari fissi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Apparecchi e impianti in pressione</w:t>
            </w:r>
          </w:p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(es. reattori chimici, autoclavi, impianti e azionamenti ad aria compressa,  compressori industriali, ecc., impianti di distribuzione dei carburanti)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 s.m.i. (Tit. III capo I)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D.Lgs. 17/2010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D.Lgs. 93/2000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DM 329/2004</w:t>
            </w:r>
          </w:p>
          <w:p>
            <w:pPr>
              <w:pStyle w:val="Normal"/>
              <w:rPr>
                <w:i/>
                <w:sz w:val="20"/>
                <w:szCs w:val="20"/>
                <w:lang w:val="da-DK"/>
              </w:rPr>
            </w:pPr>
            <w:r>
              <w:rPr>
                <w:i/>
                <w:sz w:val="20"/>
                <w:szCs w:val="20"/>
                <w:lang w:val="da-DK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Scoppio di apparecchiature in pressione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Emissione di inquinanti 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3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getto di fluidi e proiezione di oggetti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Impianti e apparecchi termici fissi</w:t>
            </w:r>
          </w:p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(forni per trattamenti termici, forni per carrozzerie, forni per panificazione, centrali termiche di processo, ecc.)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-D.Lgs. 81/08 s.m.i.   (Tit. III capo I e III)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626/96 (Dir. BT)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17/2010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D.Lgs. 93/00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-DM 329/04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DM 12/04/1996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DM 28/04/2005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D. Lgs 8/3/2006 n. 139, art. 15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4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Contatto con superfici calde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Incidenti di natura elettrica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Incendio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esplosione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scoppio di apparecchiature in pressione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emissione di inquinanti 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Macchine fisse per la lavorazione del metallo, del legno, della gomma o della plastica, della carta, della ceramica, ecc.; macchine tessili, alimentari, per la stampa, ecc.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(esempi: Torni, Presse, Trapano a colonna, Macchine per il taglio o la saldatura,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Mulini, Telai, Macchine rotative, Impastatrici, centrifughe, lavatrici industriali, ecc.)</w:t>
            </w:r>
          </w:p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Impianti automatizzati per la produzione di articoli vari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(ceramica, laterizi, materie plastiche, materiali metallici, vetro, carta, ecc.)</w:t>
            </w:r>
          </w:p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Macchine e impianti per il confezionamento, l’imbottigliamento, ecc.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  (Tit III capo I e III; Tit. XI)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 17/2010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5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Incidenti di  natura meccanica (</w:t>
            </w:r>
            <w:r>
              <w:rPr>
                <w:sz w:val="18"/>
                <w:szCs w:val="16"/>
              </w:rPr>
              <w:t>urti, tagli, trascinamento, perforazione, schiacciamenti, proiezione di materiale in lavorazione</w:t>
            </w:r>
            <w:r>
              <w:rPr>
                <w:sz w:val="20"/>
                <w:szCs w:val="16"/>
              </w:rPr>
              <w:t>).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Incidenti di natura elettrica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left" w:pos="143" w:leader="none"/>
              </w:tabs>
              <w:ind w:left="143" w:right="0" w:hanging="3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Innesco atmosfere esplosive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Emissione di inquinanti 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Caduta dall’alto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Impianti di sollevamento, trasporto e movimentazione materiali</w:t>
            </w:r>
          </w:p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(g</w:t>
            </w:r>
            <w:r>
              <w:rPr>
                <w:sz w:val="20"/>
                <w:szCs w:val="20"/>
              </w:rPr>
              <w:t>ru, carri ponte, argani, elevatori a nastro, nastri trasportatori, sistemi a binario, robot manipolatori, ecc)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   (Tit III capo I e III)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 17/2010</w:t>
            </w:r>
          </w:p>
          <w:p>
            <w:pPr>
              <w:pStyle w:val="Norma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6"/>
              </w:numPr>
              <w:tabs>
                <w:tab w:val="left" w:pos="143" w:leader="none"/>
              </w:tabs>
              <w:ind w:left="143" w:right="0" w:hanging="143"/>
              <w:rPr>
                <w:sz w:val="18"/>
                <w:szCs w:val="16"/>
              </w:rPr>
            </w:pPr>
            <w:r>
              <w:rPr>
                <w:sz w:val="20"/>
                <w:szCs w:val="16"/>
              </w:rPr>
              <w:t>Incidenti di natura meccanica (</w:t>
            </w:r>
            <w:r>
              <w:rPr>
                <w:sz w:val="18"/>
                <w:szCs w:val="16"/>
              </w:rPr>
              <w:t>urto, trascinamento, schiacciamento)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Caduta dall’alto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Incidenti di natura elettrica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Impianti di aspirazione trattamento e filtraggio aria </w:t>
            </w:r>
            <w:r>
              <w:rPr>
                <w:sz w:val="20"/>
                <w:szCs w:val="20"/>
              </w:rPr>
              <w:t>(per polveri o vapori di lavorazione, fumi di saldatura, ecc.)</w:t>
            </w:r>
          </w:p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 s.m.i. (Tit. III capo I e III; Tit. XI;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Allegato IV, punto 4)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626/96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(BT)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17/2010</w:t>
            </w:r>
          </w:p>
          <w:p>
            <w:pPr>
              <w:pStyle w:val="Norma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Esplosione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Incendio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Emissione di inquinanti 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Serbatoi di combustibile fuori terra a pressione atmosferica</w:t>
            </w:r>
          </w:p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DM 31/07/1934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DM 19/03/1990</w:t>
            </w:r>
          </w:p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DM 12 /09/2003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7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Sversamento di sostanze infiammabili e inquinanti</w:t>
            </w:r>
          </w:p>
          <w:p>
            <w:pPr>
              <w:pStyle w:val="Normal"/>
              <w:numPr>
                <w:ilvl w:val="0"/>
                <w:numId w:val="27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Incendio</w:t>
            </w:r>
          </w:p>
          <w:p>
            <w:pPr>
              <w:pStyle w:val="Normal"/>
              <w:numPr>
                <w:ilvl w:val="0"/>
                <w:numId w:val="27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Esplosione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Serbatoi interrati </w:t>
            </w:r>
            <w:r>
              <w:rPr>
                <w:sz w:val="20"/>
                <w:szCs w:val="20"/>
              </w:rPr>
              <w:t xml:space="preserve"> (compresi quelli degli impianti di distribuzione stradale)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- Legge 179/2002 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   </w:t>
            </w:r>
            <w:r>
              <w:rPr>
                <w:sz w:val="20"/>
                <w:szCs w:val="20"/>
                <w:lang w:val="da-DK"/>
              </w:rPr>
              <w:t>art. 19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D.lgs 132/1992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DM n.280/1987,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DM 29/11/2002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DM 31/07/  1934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7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Sversamento di sostanze infiammabili e inquinanti</w:t>
            </w:r>
          </w:p>
          <w:p>
            <w:pPr>
              <w:pStyle w:val="Normal"/>
              <w:numPr>
                <w:ilvl w:val="0"/>
                <w:numId w:val="27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Incendio</w:t>
            </w:r>
          </w:p>
          <w:p>
            <w:pPr>
              <w:pStyle w:val="Normal"/>
              <w:numPr>
                <w:ilvl w:val="0"/>
                <w:numId w:val="27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Esplosione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Distributori di metano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 24/05/2002 e smi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7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Esplosione</w:t>
            </w:r>
          </w:p>
          <w:p>
            <w:pPr>
              <w:pStyle w:val="Normal"/>
              <w:numPr>
                <w:ilvl w:val="0"/>
                <w:numId w:val="27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Incendio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Serbatoi di GPL </w:t>
            </w:r>
          </w:p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Distributori di GPL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  (Tit. III capo I)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D.Lgs 93/00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DM 329/04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- Legge n.10 del 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   </w:t>
            </w:r>
            <w:r>
              <w:rPr>
                <w:sz w:val="20"/>
                <w:szCs w:val="20"/>
                <w:lang w:val="da-DK"/>
              </w:rPr>
              <w:t>26/02/2011</w:t>
            </w:r>
          </w:p>
          <w:p>
            <w:pPr>
              <w:pStyle w:val="Normal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- DM 13/10/1994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DM 14/05/2004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DPR  24/10/2003 n. 340 e smi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7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Esplosione</w:t>
            </w:r>
          </w:p>
          <w:p>
            <w:pPr>
              <w:pStyle w:val="Normal"/>
              <w:numPr>
                <w:ilvl w:val="0"/>
                <w:numId w:val="27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Incendio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Attrezzature di lavoro -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Apparecchi e dispositivi elettrici o ad azionamento non manuale trasportabili, portatili.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Apparecchi termici trasportabili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Attrezzature in pressione trasportabili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Apparecchiature informatiche e da ufficio</w:t>
            </w:r>
            <w:r>
              <w:rPr>
                <w:sz w:val="20"/>
                <w:szCs w:val="20"/>
              </w:rPr>
              <w:t xml:space="preserve"> (PC, stampante, fotocopiatrice, fax, ecc.)</w:t>
            </w:r>
          </w:p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Apparecchiature audio o video</w:t>
            </w:r>
          </w:p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(Televisori</w:t>
            </w:r>
          </w:p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Apparecchiature stereofoniche, ecc.)</w:t>
            </w:r>
          </w:p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Apparecchi e dispositivi vari di misura, controllo, comunicazione</w:t>
            </w:r>
            <w:r>
              <w:rPr>
                <w:sz w:val="20"/>
                <w:szCs w:val="20"/>
              </w:rPr>
              <w:t xml:space="preserve"> (registratori di cassa, sistemi per controllo accessi, ecc.)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  (Tit. III capo III)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626/96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(BT)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4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Incidenti di natura elettrica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Utensili portatili, elettrici o a motore a scoppio </w:t>
            </w:r>
            <w:r>
              <w:rPr>
                <w:sz w:val="20"/>
                <w:szCs w:val="20"/>
              </w:rPr>
              <w:t>(trapano, avvitatore, tagliasiepi elettrico, ecc.)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 s.m.i. (Tit III capo I e III)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626/96 (BT)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17/2010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2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Incidenti di natura meccanica </w:t>
            </w:r>
          </w:p>
          <w:p>
            <w:pPr>
              <w:pStyle w:val="Normal"/>
              <w:numPr>
                <w:ilvl w:val="0"/>
                <w:numId w:val="32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Incidenti di natura elettrica</w:t>
            </w:r>
          </w:p>
          <w:p>
            <w:pPr>
              <w:pStyle w:val="Normal"/>
              <w:numPr>
                <w:ilvl w:val="0"/>
                <w:numId w:val="32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Scarsa ergonomia dell’attrezzature di lavoro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Apparecchi portatili per saldatura</w:t>
            </w:r>
            <w:r>
              <w:rPr>
                <w:sz w:val="20"/>
                <w:szCs w:val="20"/>
              </w:rPr>
              <w:t xml:space="preserve"> (saldatrice ad arco,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saldatrice a stagno, saldatrice a cannello, ecc)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16"/>
                <w:lang w:val="de-DE"/>
              </w:rPr>
            </w:pPr>
            <w:r>
              <w:rPr>
                <w:sz w:val="20"/>
                <w:szCs w:val="16"/>
              </w:rPr>
              <w:t xml:space="preserve">- D.Lgs. 81/08 </w:t>
            </w:r>
            <w:r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16"/>
              </w:rPr>
              <w:t xml:space="preserve"> (Tit. III capo I e III: Tit. </w:t>
            </w:r>
            <w:r>
              <w:rPr>
                <w:sz w:val="20"/>
                <w:szCs w:val="16"/>
                <w:lang w:val="de-DE"/>
              </w:rPr>
              <w:t>XI)</w:t>
            </w:r>
          </w:p>
          <w:p>
            <w:pPr>
              <w:pStyle w:val="Normal"/>
              <w:rPr>
                <w:sz w:val="20"/>
                <w:szCs w:val="16"/>
                <w:lang w:val="de-DE"/>
              </w:rPr>
            </w:pPr>
            <w:r>
              <w:rPr>
                <w:sz w:val="20"/>
                <w:szCs w:val="16"/>
                <w:lang w:val="de-DE"/>
              </w:rPr>
              <w:t xml:space="preserve">- D.Lgs. 626/96 </w:t>
            </w:r>
          </w:p>
          <w:p>
            <w:pPr>
              <w:pStyle w:val="Normal"/>
              <w:rPr>
                <w:sz w:val="20"/>
                <w:szCs w:val="16"/>
                <w:lang w:val="de-DE"/>
              </w:rPr>
            </w:pPr>
            <w:r>
              <w:rPr>
                <w:sz w:val="20"/>
                <w:szCs w:val="16"/>
                <w:lang w:val="de-DE"/>
              </w:rPr>
              <w:t xml:space="preserve">  </w:t>
            </w:r>
            <w:r>
              <w:rPr>
                <w:sz w:val="20"/>
                <w:szCs w:val="16"/>
                <w:lang w:val="de-DE"/>
              </w:rPr>
              <w:t>(BT)</w:t>
            </w:r>
          </w:p>
          <w:p>
            <w:pPr>
              <w:pStyle w:val="Normal"/>
              <w:rPr>
                <w:sz w:val="20"/>
                <w:szCs w:val="18"/>
                <w:lang w:val="de-DE"/>
              </w:rPr>
            </w:pPr>
            <w:r>
              <w:rPr>
                <w:b/>
                <w:i/>
                <w:szCs w:val="20"/>
                <w:lang w:val="de-DE"/>
              </w:rPr>
              <w:t xml:space="preserve">- </w:t>
            </w:r>
            <w:r>
              <w:rPr>
                <w:sz w:val="20"/>
                <w:szCs w:val="18"/>
                <w:lang w:val="de-DE"/>
              </w:rPr>
              <w:t xml:space="preserve">DM 10/03/98 </w:t>
            </w:r>
          </w:p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- D. Lgs. 8/3/2006 </w:t>
            </w:r>
          </w:p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</w:t>
            </w:r>
            <w:r>
              <w:rPr>
                <w:sz w:val="20"/>
                <w:szCs w:val="18"/>
              </w:rPr>
              <w:t>n. 139, art. 15</w:t>
            </w:r>
          </w:p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- Regole tecniche </w:t>
            </w:r>
          </w:p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</w:t>
            </w:r>
            <w:r>
              <w:rPr>
                <w:sz w:val="20"/>
                <w:szCs w:val="18"/>
              </w:rPr>
              <w:t>di p.i. applicabili</w:t>
            </w:r>
          </w:p>
          <w:p>
            <w:pPr>
              <w:pStyle w:val="Normal"/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Esposizione a fiamma o calore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Esposizione a fumi di saldatura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Incendio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Incidenti di natura elettrica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Innesco esplosioni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Scoppio di bombole in pressione</w:t>
            </w:r>
          </w:p>
        </w:tc>
      </w:tr>
      <w:tr>
        <w:trPr>
          <w:trHeight w:val="164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Elettrodomestici </w:t>
            </w:r>
            <w:r>
              <w:rPr>
                <w:sz w:val="20"/>
                <w:szCs w:val="20"/>
              </w:rPr>
              <w:t>(Frigoriferi, forni a microonde, aspirapolveri, ecc)</w:t>
            </w:r>
          </w:p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- D.Lgs. 81/08 </w:t>
            </w:r>
            <w:r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16"/>
              </w:rPr>
              <w:t xml:space="preserve"> (Tit.  III capo I e III)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- D.Lgs 626/96 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</w:t>
            </w:r>
            <w:r>
              <w:rPr>
                <w:sz w:val="20"/>
                <w:szCs w:val="16"/>
              </w:rPr>
              <w:t>(BT)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D.Lgs 17/2010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9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Incidenti di natura elettrica</w:t>
            </w:r>
          </w:p>
          <w:p>
            <w:pPr>
              <w:pStyle w:val="Normal"/>
              <w:numPr>
                <w:ilvl w:val="0"/>
                <w:numId w:val="19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Incidenti di natura meccanica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Apparecchi termici trasportabili </w:t>
            </w:r>
            <w:r>
              <w:rPr>
                <w:sz w:val="20"/>
                <w:szCs w:val="20"/>
              </w:rPr>
              <w:t>(Termoventilatori, stufe a gas trasportabili, cucine a gas, ecc.)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-D.Lgs. 81/08 </w:t>
            </w:r>
            <w:r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16"/>
              </w:rPr>
              <w:t xml:space="preserve"> (Tit. III capo I e III)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-D.Lgs. 626/96 (BT)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-D.Lgs 17/2010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DPR 661/96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5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Incidenti di natura elettrica</w:t>
            </w:r>
          </w:p>
          <w:p>
            <w:pPr>
              <w:pStyle w:val="Normal"/>
              <w:numPr>
                <w:ilvl w:val="0"/>
                <w:numId w:val="35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Formazione di atmosfere esplosive</w:t>
            </w:r>
          </w:p>
          <w:p>
            <w:pPr>
              <w:pStyle w:val="Normal"/>
              <w:numPr>
                <w:ilvl w:val="0"/>
                <w:numId w:val="35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Scoppio di apparecchiature in pressione</w:t>
            </w:r>
          </w:p>
          <w:p>
            <w:pPr>
              <w:pStyle w:val="Normal"/>
              <w:numPr>
                <w:ilvl w:val="0"/>
                <w:numId w:val="35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Emissione di inquinanti </w:t>
            </w:r>
          </w:p>
          <w:p>
            <w:pPr>
              <w:pStyle w:val="Normal"/>
              <w:numPr>
                <w:ilvl w:val="0"/>
                <w:numId w:val="35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Incendio</w:t>
            </w:r>
          </w:p>
        </w:tc>
      </w:tr>
      <w:tr>
        <w:trPr>
          <w:trHeight w:val="1198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 di collegamento elettrico mobili ad uso domestico o industriale</w:t>
            </w:r>
            <w:r>
              <w:rPr>
                <w:sz w:val="20"/>
                <w:szCs w:val="20"/>
              </w:rPr>
              <w:t xml:space="preserve"> (Avvolgicavo, cordoni di prolunga, adattatori, ecc.)</w:t>
            </w:r>
          </w:p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-D.Lgs. 81/08 </w:t>
            </w:r>
            <w:r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16"/>
              </w:rPr>
              <w:t xml:space="preserve"> (Tit III capo  III)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en-GB"/>
              </w:rPr>
              <w:t>-</w:t>
            </w:r>
            <w:r>
              <w:rPr>
                <w:sz w:val="20"/>
                <w:szCs w:val="16"/>
              </w:rPr>
              <w:t>D.Lgs 626/96 (BT)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5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Incidenti di natura elettrica</w:t>
            </w:r>
          </w:p>
          <w:p>
            <w:pPr>
              <w:pStyle w:val="Normal"/>
              <w:numPr>
                <w:ilvl w:val="0"/>
                <w:numId w:val="35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Incidenti di natura meccanica</w:t>
            </w:r>
          </w:p>
        </w:tc>
      </w:tr>
      <w:tr>
        <w:trPr>
          <w:trHeight w:val="814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Apparecchi di illuminazione</w:t>
            </w:r>
          </w:p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(Lampade da tavolo, lampade da pavimento, lampade portatili, ecc.)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D.Lgs. 81/08  </w:t>
            </w:r>
            <w:r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16"/>
              </w:rPr>
              <w:t>(Tit III capo  III)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D.Lgs 626/96 (BT)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5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Incidenti di natura elettrica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Gruppi elettrogeni trasportabili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- D.Lgs. 81/08 </w:t>
            </w:r>
            <w:r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16"/>
              </w:rPr>
              <w:t xml:space="preserve"> (Tit. III capo I e III)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D.Lgs. 626/96 (BT)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D.Lgs .17/2010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DM  13/07/2011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Emissione di inquinanti 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Incidenti di natura elettrica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Incidenti di natura meccanica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Incendio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Attrezzature in pressione trasportabili </w:t>
            </w:r>
            <w:r>
              <w:rPr>
                <w:sz w:val="20"/>
                <w:szCs w:val="20"/>
              </w:rPr>
              <w:t>(compressori, sterilizzatrici , bombole, fusti in pressione, recipienti criogenici, ecc.)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 81/08 s.m.i.   (Titolo III capo I e III)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D.Lgs 626/96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(BT)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 17/2010</w:t>
            </w:r>
          </w:p>
          <w:p>
            <w:pPr>
              <w:pStyle w:val="Normal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GB"/>
              </w:rPr>
              <w:t>D.Lgs 93/2000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 23/2002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Scoppio di apparecchiature in pressione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Incidenti di natura elettrica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Incidenti di natura meccanica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Incendio</w:t>
            </w:r>
          </w:p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Apparecchi elettromedicali </w:t>
            </w:r>
            <w:r>
              <w:rPr>
                <w:sz w:val="20"/>
                <w:szCs w:val="20"/>
              </w:rPr>
              <w:t>(ecografi, elettrocardiografi, defibrillatori, elettrostimolatori, ecc.)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rPr>
                <w:b/>
                <w:sz w:val="20"/>
                <w:szCs w:val="20"/>
                <w:shd w:fill="00FFFF" w:val="clear"/>
              </w:rPr>
            </w:pPr>
            <w:r>
              <w:rPr>
                <w:b/>
                <w:sz w:val="20"/>
                <w:szCs w:val="20"/>
                <w:shd w:fill="00FFFF" w:val="clear"/>
              </w:rPr>
            </w:r>
          </w:p>
          <w:p>
            <w:pPr>
              <w:pStyle w:val="Normal"/>
              <w:rPr>
                <w:b/>
                <w:sz w:val="20"/>
                <w:szCs w:val="20"/>
                <w:shd w:fill="00FFFF" w:val="clear"/>
              </w:rPr>
            </w:pPr>
            <w:r>
              <w:rPr>
                <w:b/>
                <w:sz w:val="20"/>
                <w:szCs w:val="20"/>
                <w:shd w:fill="00FFFF" w:val="clear"/>
              </w:rPr>
            </w:r>
          </w:p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 81/08 s.m.i.   (Tit.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III capo I e III)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 37/2010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0"/>
              </w:numPr>
              <w:tabs>
                <w:tab w:val="left" w:pos="143" w:leader="none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Incidenti di natura elettrica</w:t>
            </w:r>
          </w:p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Apparecchi elettrici per uso estetico </w:t>
            </w:r>
            <w:r>
              <w:rPr>
                <w:sz w:val="20"/>
                <w:szCs w:val="20"/>
              </w:rPr>
              <w:t>(apparecchi per massaggi meccanici, depilatori elettrici, lampade abbronzanti, elettrostimolatori, ecc.)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 81/08 s.m.i.  (Tit.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III capo I e III)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DM 110/2011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0"/>
              </w:numPr>
              <w:tabs>
                <w:tab w:val="left" w:pos="143" w:leader="none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Incidenti di natura elettrica</w:t>
            </w:r>
          </w:p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Attrezzature di lavoro  -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Altre attrezzature a motore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Macchine da cantiere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escavatori, gru, trivelle, betoniere, dumper, autobetonpompa, rullo compressore,ecc.)</w:t>
            </w:r>
          </w:p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 81/08  s.m.i. (Tit.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III capo I e III)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 17/2010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Ribaltamento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Incidenti di natura meccanica 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Emissione di inquinanti  </w:t>
            </w:r>
          </w:p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Macchine agricole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(Trattrici, Macchine per la lavorazione del terreno, Macchine per la raccolta, ecc.)</w:t>
            </w:r>
          </w:p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D.lgs 81/08 s.m.i.   (Tit.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III capo I)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DM 19/11/2004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 17/2010</w:t>
            </w:r>
          </w:p>
          <w:p>
            <w:pPr>
              <w:pStyle w:val="Norma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Ribaltamento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Incidenti di natura meccanica 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Emissione di inquinanti  </w:t>
            </w:r>
          </w:p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Carrelli industriali</w:t>
            </w:r>
            <w:r>
              <w:rPr>
                <w:sz w:val="20"/>
                <w:szCs w:val="20"/>
              </w:rPr>
              <w:t xml:space="preserve"> (Muletti, transpallett, ecc.)</w:t>
            </w:r>
          </w:p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- D.lgs 81/08 </w:t>
            </w:r>
            <w:r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16"/>
              </w:rPr>
              <w:t>(Tit.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</w:t>
            </w:r>
            <w:r>
              <w:rPr>
                <w:sz w:val="20"/>
                <w:szCs w:val="16"/>
              </w:rPr>
              <w:t>III capo I e III)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- D.Lgs 626/96 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 </w:t>
            </w:r>
            <w:r>
              <w:rPr>
                <w:sz w:val="20"/>
                <w:szCs w:val="16"/>
              </w:rPr>
              <w:t>(BT)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D.Lgs 17/2010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Ribaltamento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Incidenti di natura meccanica 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Emissione di inquinanti  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Incidenti stradali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Mezzi di trasporto materiali</w:t>
            </w:r>
            <w:r>
              <w:rPr>
                <w:sz w:val="20"/>
                <w:szCs w:val="20"/>
              </w:rPr>
              <w:t xml:space="preserve"> (Autocarri, furgoni, autotreni, autocisterne, ecc.)</w:t>
            </w:r>
          </w:p>
          <w:p>
            <w:pPr>
              <w:pStyle w:val="Normal"/>
              <w:autoSpaceDE w:val="false"/>
              <w:ind w:left="-64" w:right="-108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D.lgs 30 aprile 1992, n. 285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- D.lgs. 35/2010, </w:t>
            </w:r>
          </w:p>
          <w:p>
            <w:pPr>
              <w:pStyle w:val="Normal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Ribaltamento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Incidenti di natura meccanica 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Sversamenti di inquinanti 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25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Mezzi trasporto persone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Autovetture, Pullman, Autoambulanze, ecc.)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D.Lgs. 30 aprile 1992, n.285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3"/>
              </w:numPr>
              <w:tabs>
                <w:tab w:val="left" w:pos="143" w:leader="none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Incidenti stradali</w:t>
            </w:r>
          </w:p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704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Attrezzature di lavoro  -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Utensili manuali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64" w:right="-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Martello, pinza,  taglierino, seghetti, cesoie, trapano manuale, piccone, ecc.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D.lgs 81/08  </w:t>
            </w:r>
            <w:r>
              <w:rPr>
                <w:sz w:val="20"/>
                <w:szCs w:val="20"/>
              </w:rPr>
              <w:t xml:space="preserve">s.m.i. </w:t>
            </w:r>
            <w:r>
              <w:rPr>
                <w:sz w:val="20"/>
                <w:szCs w:val="16"/>
              </w:rPr>
              <w:t>(Titolo III capo I)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6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Incidenti di natura meccanica 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Scariche atmosferiche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Scariche atmosferiche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D.lgs. 81/08</w:t>
            </w:r>
            <w:r>
              <w:rPr>
                <w:sz w:val="20"/>
                <w:szCs w:val="20"/>
              </w:rPr>
              <w:t xml:space="preserve"> s.m.i. </w:t>
            </w:r>
            <w:r>
              <w:rPr>
                <w:sz w:val="20"/>
                <w:szCs w:val="16"/>
              </w:rPr>
              <w:t xml:space="preserve">  (Tit. III capo  III)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DM 37/08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 DPR 462/01</w:t>
            </w:r>
          </w:p>
          <w:p>
            <w:pPr>
              <w:pStyle w:val="Normal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0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Incidenti di natura elettrica (folgorazione)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left" w:pos="143" w:leader="none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Innesco di incendi o di esplosioni 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Lavoro al videoterminale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Lavoro al videoterminale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(Titolo VII ; Allegato XXXIV)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0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Posture incongrue, movimenti ripetitivi.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Ergonomia del posto di lavoro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left" w:pos="143" w:leader="none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Affaticamento visivo</w:t>
            </w:r>
          </w:p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Agenti fisici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Rumore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D.Lgs. 81/08</w:t>
            </w:r>
            <w:r>
              <w:rPr>
                <w:sz w:val="20"/>
                <w:szCs w:val="20"/>
              </w:rPr>
              <w:t xml:space="preserve">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(Titolo VIII, Capo I ;Titolo VIII, Capo II)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0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Ipoacusia  </w:t>
            </w:r>
          </w:p>
          <w:p>
            <w:pPr>
              <w:pStyle w:val="Normal"/>
              <w:numPr>
                <w:ilvl w:val="0"/>
                <w:numId w:val="33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Difficoltà di comunicazione </w:t>
            </w:r>
          </w:p>
          <w:p>
            <w:pPr>
              <w:pStyle w:val="Normal"/>
              <w:numPr>
                <w:ilvl w:val="0"/>
                <w:numId w:val="33"/>
              </w:numPr>
              <w:tabs>
                <w:tab w:val="left" w:pos="143" w:leader="none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Stress psicofisico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Vibrazioni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D.Lgs. 81/08</w:t>
            </w:r>
            <w:r>
              <w:rPr>
                <w:sz w:val="20"/>
                <w:szCs w:val="20"/>
              </w:rPr>
              <w:t xml:space="preserve">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(Titolo VIII, Capo I ;Titolo VIII, Capo III)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Sindrome di Raynaud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Lombalgia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Campi elettromagnetici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-23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(Titolo VIII, Capo I; Titolo VIII, Capo IV)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ind w:left="143" w:right="0" w:hanging="143"/>
              <w:rPr>
                <w:color w:val="FF0000"/>
                <w:sz w:val="20"/>
                <w:szCs w:val="18"/>
              </w:rPr>
            </w:pPr>
            <w:r>
              <w:rPr>
                <w:sz w:val="20"/>
                <w:szCs w:val="18"/>
              </w:rPr>
              <w:t>Assorbimento di energia e correnti di contatto</w:t>
            </w:r>
            <w:r>
              <w:rPr>
                <w:color w:val="FF0000"/>
                <w:sz w:val="20"/>
                <w:szCs w:val="18"/>
              </w:rPr>
              <w:t xml:space="preserve"> 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Radiazioni ottiche artificiali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(Titolo VIII, Capo I; Titolo VIII, Capo V)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Esposizione di occhi e cute a sorgenti di radiazioni ottiche di elevata potenza e concentrazione.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Microclima di ambienti severi infrasuoni, ultrasuoni, atmosfere iperbariche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0" w:right="0" w:hanging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 s.m.i.</w:t>
            </w:r>
          </w:p>
          <w:p>
            <w:pPr>
              <w:pStyle w:val="Normal"/>
              <w:autoSpaceDE w:val="false"/>
              <w:ind w:left="612" w:right="0" w:hanging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(Titolo VIII, Capo I)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Colpo di calore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Congelamento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Cavitazione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Embolia</w:t>
            </w:r>
          </w:p>
        </w:tc>
      </w:tr>
      <w:tr>
        <w:trPr>
          <w:trHeight w:val="750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Radiazioni ionizzanti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Raggi alfa, beta, gamma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612" w:right="0" w:hanging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230/95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Esposizione a radiazioni ionizzanti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Sostanze pericolose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Agenti chimici (comprese le polveri)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(Titolo IX, Capo I; Allegato IV punto 2)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RD 6/5/1940, n. 635 e s.m.i.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Esposizione per contatto, ingestione o inalazione. 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Esplosione 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Incendio</w:t>
            </w:r>
          </w:p>
          <w:p>
            <w:pPr>
              <w:pStyle w:val="Normal"/>
              <w:rPr>
                <w:i/>
                <w:color w:val="FF0000"/>
                <w:sz w:val="20"/>
                <w:szCs w:val="18"/>
              </w:rPr>
            </w:pPr>
            <w:r>
              <w:rPr>
                <w:i/>
                <w:color w:val="FF0000"/>
                <w:sz w:val="20"/>
                <w:szCs w:val="18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Agenti cancerogeni e mutageni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D.Lgs. 81/08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(Titolo IX, Capo II)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Esposizione per contatto, ingestione o inalazione.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Amianto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ind w:left="612" w:right="0" w:hanging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(Titolo IX, Capo III)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Inalazione di fibre</w:t>
            </w:r>
          </w:p>
          <w:p>
            <w:pPr>
              <w:pStyle w:val="Normal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Agenti biologici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Virus, batteri, colture cellulari, microrganismi, endoparassiti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(Titolo X)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Esposizione per contatto, ingestione o inalazione</w:t>
            </w:r>
          </w:p>
        </w:tc>
      </w:tr>
      <w:tr>
        <w:trPr>
          <w:trHeight w:val="996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Atmosfere esplosive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Presenza di atmosfera esplosive (a causa di sostanze infiammabili allo stato di gas, vapori, nebbie o polveri)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(Titolo XI;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Allegato IV punto 4)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Esplosione </w:t>
            </w:r>
          </w:p>
          <w:p>
            <w:pPr>
              <w:pStyle w:val="Normal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</w:p>
          <w:p>
            <w:pPr>
              <w:pStyle w:val="Normal"/>
              <w:ind w:left="360" w:right="0" w:hanging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</w:tr>
      <w:tr>
        <w:trPr>
          <w:trHeight w:val="1882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Incendio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Presenza di sostanze (solide, liquide o gassose) combustibili, </w:t>
            </w:r>
            <w:r>
              <w:rPr>
                <w:rFonts w:cs="Times New (W1);Times New Roman" w:ascii="Times New (W1);Times New Roman" w:hAnsi="Times New (W1);Times New Roman"/>
                <w:sz w:val="20"/>
                <w:szCs w:val="20"/>
              </w:rPr>
              <w:t>infiammabili</w:t>
            </w:r>
            <w:r>
              <w:rPr>
                <w:sz w:val="20"/>
                <w:szCs w:val="20"/>
              </w:rPr>
              <w:t xml:space="preserve"> e condizioni di innesco (fiamme libere, scintille, parti calde, ecc.)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D.Lgs. 81/08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(Titolo I, Capo III, sez. VI ; Allegato IV punto 4)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D.M. 10 marzo 1998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D. Lgs 8/3/2006 n. 139, art. 15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Regole tecniche di p.i. applicabili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DPR 151/2011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Incendio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Esplosioni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</w:p>
        </w:tc>
      </w:tr>
      <w:tr>
        <w:trPr>
          <w:trHeight w:val="755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Altre emergenze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Inondazioni, allagamenti, terremoti, ecc.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(Titolo I, Capo III, sez. VI)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Cedimenti strutturali</w:t>
            </w:r>
          </w:p>
        </w:tc>
      </w:tr>
      <w:tr>
        <w:trPr>
          <w:trHeight w:val="1786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Fattori organizzativi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Stress lavoro-correlato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D.Lgs. 81/08 s.m.i. (art. 28, comma1 -bis)</w:t>
            </w:r>
          </w:p>
          <w:p>
            <w:pPr>
              <w:pStyle w:val="Normal"/>
              <w:rPr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>
              <w:rPr>
                <w:iCs/>
                <w:sz w:val="20"/>
                <w:szCs w:val="20"/>
              </w:rPr>
              <w:t>Accordo europeo 8 ottobre 2004</w:t>
            </w:r>
          </w:p>
          <w:p>
            <w:pPr>
              <w:pStyle w:val="Normal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Circolare Ministero del Lavoro e delle Politiche sociali del 18/11/2010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Numerosi infortuni/assenze</w:t>
            </w:r>
          </w:p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ind w:left="179" w:right="0" w:hanging="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Evidenti contrasti tra lavoratori</w:t>
            </w:r>
          </w:p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disagio psico-fisico</w:t>
            </w:r>
          </w:p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calo d’attenzione,</w:t>
            </w:r>
          </w:p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Affaticamento</w:t>
            </w:r>
          </w:p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isolamento</w:t>
            </w:r>
          </w:p>
        </w:tc>
      </w:tr>
      <w:tr>
        <w:trPr>
          <w:trHeight w:val="983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Condizioni di lavoro particolari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Lavoro notturno, straordinari, lavori in solitario in condizioni critiche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D.Lgs. 81/08 s.m.i. </w:t>
            </w:r>
          </w:p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15, comma 1, lettera a)</w:t>
            </w:r>
          </w:p>
          <w:p>
            <w:pPr>
              <w:pStyle w:val="Normal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autoSpaceDE w:val="false"/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Incidenti causati da affaticamento</w:t>
            </w:r>
          </w:p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autoSpaceDE w:val="false"/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Difficoltà o mancanza di soccorso</w:t>
            </w:r>
          </w:p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Mancanza di supervisione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Pericoli connessi all’interazione con persone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svolte a contatto con il pubblico (attività ospedaliera, di sportello, di formazione, di assistenza, di intrattenimento, di rappresentanza e vendita, di vigilanza in genere, ecc.)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15, comma 1, lettera a)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autoSpaceDE w:val="false"/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Aggressioni fisiche e verbali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Pericoli connessi all’interazione con animali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svolte in allevamenti, maneggi, nei luoghi di intrattenimento e spettacolo, nei mattatoi, stabulari, ecc.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15, comma 1, lettera a)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autoSpaceDE w:val="false"/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Aggressione, calci, morsi, punture, schiacciamento, ecc.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Movimentazione manuale dei carichi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incongrue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D.Lgs. 81/08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(Titolo VI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Allegato XXXIII)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Prolungata assunzione di postura incongrua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Movimenti ripetitivi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D.Lgs. 81/08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(Titolo VI;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Allegato XXXIII)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Elevata frequenza dei movimenti con tempi di recupero insufficienti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Sollevamento e spostamento di carichi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D.Lgs. 81/08 s.m.i.</w:t>
            </w:r>
          </w:p>
          <w:p>
            <w:pPr>
              <w:pStyle w:val="Normal"/>
              <w:autoSpaceDE w:val="false"/>
              <w:ind w:left="45" w:right="0" w:hanging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(Titolo VI; Allegato XXXIII)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Sforzi eccessivi</w:t>
            </w:r>
          </w:p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Torsioni del tronco</w:t>
            </w:r>
          </w:p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Movimenti bruschi</w:t>
            </w:r>
          </w:p>
          <w:p>
            <w:pPr>
              <w:pStyle w:val="Normal"/>
              <w:numPr>
                <w:ilvl w:val="0"/>
                <w:numId w:val="29"/>
              </w:numPr>
              <w:tabs>
                <w:tab w:val="left" w:pos="14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Posizioni instabili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sotto tensione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Pericoli connessi ai lavori sotto tensione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(lavori elettrici con accesso alle parti attive di impianti o apparecchi elettrici)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(art. 82)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7"/>
              </w:numPr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Folgorazione </w:t>
            </w:r>
          </w:p>
        </w:tc>
      </w:tr>
      <w:tr>
        <w:trPr>
          <w:trHeight w:val="912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 prossimità di parti attive di impianti elettrici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Pericoli connessi ai lavori in prossimità di parti attive di linee o impianti elettrici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D.Lgs. 81/08 s.m.i.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art. 83 e Allegato I)</w:t>
            </w:r>
          </w:p>
          <w:p>
            <w:pPr>
              <w:pStyle w:val="Normal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7"/>
              </w:numPr>
              <w:ind w:left="143" w:right="0" w:hanging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Folgorazione </w:t>
            </w:r>
          </w:p>
        </w:tc>
      </w:tr>
      <w:tr>
        <w:trPr>
          <w:trHeight w:val="743" w:hRule="atLeast"/>
          <w:cantSplit w:val="false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eastAsia="Courier New" w:cs="Courier New" w:ascii="Courier New" w:hAnsi="Courier New"/>
                <w:sz w:val="20"/>
                <w:szCs w:val="20"/>
              </w:rPr>
            </w:pPr>
            <w:r>
              <w:rPr>
                <w:rFonts w:eastAsia="Courier New" w:cs="Courier New" w:ascii="Courier New" w:hAnsi="Courier New"/>
                <w:sz w:val="20"/>
                <w:szCs w:val="20"/>
              </w:rPr>
              <w:t>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ind w:left="12036" w:right="0" w:hanging="0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tabs>
          <w:tab w:val="left" w:pos="5325" w:leader="none"/>
        </w:tabs>
        <w:ind w:left="284" w:right="0" w:hanging="284"/>
        <w:rPr>
          <w:b/>
          <w:caps/>
          <w:sz w:val="28"/>
        </w:rPr>
      </w:pPr>
      <w:r>
        <w:rPr>
          <w:b/>
          <w:caps/>
        </w:rPr>
        <w:tab/>
        <w:tab/>
        <w:tab/>
        <w:tab/>
        <w:tab/>
        <w:tab/>
        <w:t>mODulo</w:t>
      </w:r>
      <w:r>
        <w:rPr>
          <w:b/>
          <w:caps/>
          <w:sz w:val="28"/>
        </w:rPr>
        <w:t xml:space="preserve"> N.3</w:t>
      </w:r>
    </w:p>
    <w:p>
      <w:pPr>
        <w:pStyle w:val="Normal"/>
        <w:tabs>
          <w:tab w:val="left" w:pos="5325" w:leader="none"/>
        </w:tabs>
        <w:ind w:left="284" w:right="0" w:hanging="284"/>
        <w:rPr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tabs>
          <w:tab w:val="left" w:pos="5325" w:leader="none"/>
        </w:tabs>
        <w:ind w:left="284" w:right="0" w:hanging="284"/>
        <w:rPr>
          <w:b/>
          <w:caps/>
          <w:sz w:val="28"/>
        </w:rPr>
      </w:pPr>
      <w:r>
        <w:rPr>
          <w:b/>
          <w:caps/>
          <w:sz w:val="28"/>
        </w:rPr>
      </w:r>
    </w:p>
    <w:tbl>
      <w:tblPr>
        <w:jc w:val="left"/>
        <w:tblInd w:w="-3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single" w:sz="18" w:space="0" w:color="000000"/>
          <w:insideV w:val="single" w:sz="18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690"/>
        <w:gridCol w:w="1201"/>
        <w:gridCol w:w="989"/>
        <w:gridCol w:w="1255"/>
        <w:gridCol w:w="1080"/>
        <w:gridCol w:w="901"/>
        <w:gridCol w:w="1442"/>
        <w:gridCol w:w="1320"/>
        <w:gridCol w:w="1450"/>
      </w:tblGrid>
      <w:tr>
        <w:trPr>
          <w:trHeight w:val="829" w:hRule="atLeast"/>
          <w:cantSplit w:val="false"/>
        </w:trPr>
        <w:tc>
          <w:tcPr>
            <w:tcW w:w="103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</w:rPr>
            </w:pPr>
            <w:r>
              <w:rPr>
                <w:rFonts w:cs="Arial" w:ascii="Arial" w:hAnsi="Arial"/>
                <w:b/>
              </w:rPr>
              <w:t xml:space="preserve">VALUTAZIONE RISCHI, MISURE DI PREVENZIONE e PROTEZIONE ATTUATE, PROGRAMMA DI MIGLIORAMENTO </w:t>
            </w:r>
          </w:p>
          <w:p>
            <w:pPr>
              <w:pStyle w:val="Normal"/>
              <w:jc w:val="center"/>
              <w:rPr>
                <w:rFonts w:cs="Arial" w:ascii="Arial" w:hAnsi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46" w:hRule="atLeast"/>
          <w:cantSplit w:val="false"/>
        </w:trPr>
        <w:tc>
          <w:tcPr>
            <w:tcW w:w="6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426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Valutazione dei rischi e misure attuate</w:t>
            </w:r>
          </w:p>
        </w:tc>
        <w:tc>
          <w:tcPr>
            <w:tcW w:w="42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Programma di miglioramento </w:t>
            </w:r>
          </w:p>
        </w:tc>
      </w:tr>
      <w:tr>
        <w:trPr>
          <w:trHeight w:val="646" w:hRule="atLeast"/>
          <w:cantSplit w:val="false"/>
        </w:trPr>
        <w:tc>
          <w:tcPr>
            <w:tcW w:w="690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</w:r>
          </w:p>
        </w:tc>
        <w:tc>
          <w:tcPr>
            <w:tcW w:w="12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134" w:right="1134" w:header="0" w:top="1418" w:footer="709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jc w:val="left"/>
        <w:tblInd w:w="-312" w:type="dxa"/>
        <w:tblBorders>
          <w:top w:val="single" w:sz="6" w:space="0" w:color="000000"/>
          <w:left w:val="single" w:sz="18" w:space="0" w:color="000000"/>
          <w:bottom w:val="single" w:sz="6" w:space="0" w:color="000000"/>
          <w:insideH w:val="single" w:sz="6" w:space="0" w:color="000000"/>
          <w:right w:val="nil"/>
          <w:insideV w:val="nil"/>
        </w:tblBorders>
        <w:tblCellMar>
          <w:top w:w="0" w:type="dxa"/>
          <w:left w:w="47" w:type="dxa"/>
          <w:bottom w:w="0" w:type="dxa"/>
          <w:right w:w="70" w:type="dxa"/>
        </w:tblCellMar>
      </w:tblPr>
      <w:tblGrid>
        <w:gridCol w:w="694"/>
        <w:gridCol w:w="1201"/>
        <w:gridCol w:w="989"/>
        <w:gridCol w:w="1255"/>
        <w:gridCol w:w="1080"/>
        <w:gridCol w:w="901"/>
        <w:gridCol w:w="1442"/>
        <w:gridCol w:w="1320"/>
        <w:gridCol w:w="1446"/>
      </w:tblGrid>
      <w:tr>
        <w:trPr>
          <w:trHeight w:val="1442" w:hRule="atLeast"/>
          <w:cantSplit w:val="false"/>
        </w:trPr>
        <w:tc>
          <w:tcPr>
            <w:tcW w:w="69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Area/Reparto /Luogo di lavoro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Mansioni/</w:t>
            </w:r>
          </w:p>
          <w:p>
            <w:pPr>
              <w:pStyle w:val="Normal"/>
              <w:jc w:val="center"/>
              <w:rPr>
                <w:rStyle w:val="Caratteredellanota"/>
                <w:rStyle w:val="Richiamoallanotaapidipagin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Postazioni</w:t>
            </w:r>
            <w:r>
              <w:rPr>
                <w:rStyle w:val="Caratteredellanota"/>
                <w:rStyle w:val="Richiamoallanotaapidipagina"/>
                <w:b/>
                <w:sz w:val="18"/>
                <w:szCs w:val="18"/>
              </w:rPr>
              <w:footnoteReference w:customMarkFollows="1" w:id="2"/>
              <w:t>1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Pericoli che determinano rischi per la salute e sicurezza</w:t>
            </w:r>
            <w:r>
              <w:rPr>
                <w:rStyle w:val="Caratteredellanota"/>
                <w:rStyle w:val="Richiamoallanotaapidipagina"/>
                <w:b/>
                <w:sz w:val="18"/>
                <w:szCs w:val="18"/>
              </w:rPr>
              <w:footnoteReference w:id="3"/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Eventuali strumenti di supporto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Misure attuate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Misure di miglioramento da adottare</w:t>
            </w:r>
          </w:p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Tipologie di Misure Prev./Prot.</w:t>
            </w:r>
          </w:p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Incaricati della realizzazione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di attuazione delle misure di miglioramento</w:t>
            </w:r>
          </w:p>
        </w:tc>
      </w:tr>
      <w:tr>
        <w:trPr>
          <w:trHeight w:val="790" w:hRule="atLeast"/>
          <w:cantSplit w:val="false"/>
        </w:trPr>
        <w:tc>
          <w:tcPr>
            <w:tcW w:w="69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4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napToGrid w:val="false"/>
              <w:jc w:val="center"/>
              <w:rPr>
                <w:rFonts w:cs="Trebuchet MS" w:ascii="Trebuchet MS" w:hAnsi="Trebuchet MS"/>
                <w:sz w:val="18"/>
              </w:rPr>
            </w:pPr>
            <w:r>
              <w:rPr>
                <w:rFonts w:cs="Trebuchet MS" w:ascii="Trebuchet MS" w:hAnsi="Trebuchet MS"/>
                <w:sz w:val="18"/>
              </w:rPr>
            </w:r>
          </w:p>
        </w:tc>
      </w:tr>
      <w:tr>
        <w:trPr>
          <w:trHeight w:val="790" w:hRule="atLeast"/>
          <w:cantSplit w:val="false"/>
        </w:trPr>
        <w:tc>
          <w:tcPr>
            <w:tcW w:w="69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4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napToGrid w:val="false"/>
              <w:jc w:val="center"/>
              <w:rPr>
                <w:rFonts w:cs="Trebuchet MS" w:ascii="Trebuchet MS" w:hAnsi="Trebuchet MS"/>
                <w:sz w:val="18"/>
              </w:rPr>
            </w:pPr>
            <w:r>
              <w:rPr>
                <w:rFonts w:cs="Trebuchet MS" w:ascii="Trebuchet MS" w:hAnsi="Trebuchet MS"/>
                <w:sz w:val="18"/>
              </w:rPr>
            </w:r>
          </w:p>
        </w:tc>
      </w:tr>
      <w:tr>
        <w:trPr>
          <w:trHeight w:val="790" w:hRule="atLeast"/>
          <w:cantSplit w:val="false"/>
        </w:trPr>
        <w:tc>
          <w:tcPr>
            <w:tcW w:w="69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0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4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47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13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  <w:right w:val="single" w:sz="18" w:space="0" w:color="000000"/>
              <w:insideV w:val="single" w:sz="18" w:space="0" w:color="000000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napToGrid w:val="false"/>
              <w:jc w:val="center"/>
              <w:rPr>
                <w:rFonts w:cs="Trebuchet MS" w:ascii="Trebuchet MS" w:hAnsi="Trebuchet MS"/>
                <w:sz w:val="18"/>
              </w:rPr>
            </w:pPr>
            <w:r>
              <w:rPr>
                <w:rFonts w:cs="Trebuchet MS" w:ascii="Trebuchet MS" w:hAnsi="Trebuchet MS"/>
                <w:sz w:val="18"/>
              </w:rPr>
            </w:r>
          </w:p>
        </w:tc>
      </w:tr>
    </w:tbl>
    <w:p>
      <w:pPr>
        <w:pStyle w:val="Normal"/>
        <w:ind w:left="360" w:right="0" w:hanging="0"/>
        <w:jc w:val="center"/>
        <w:rPr/>
      </w:pPr>
      <w:r>
        <w:rPr/>
      </w:r>
    </w:p>
    <w:p>
      <w:pPr>
        <w:pStyle w:val="Normal"/>
        <w:ind w:left="360" w:right="0" w:hanging="0"/>
        <w:jc w:val="center"/>
        <w:rPr>
          <w:color w:val="FF0000"/>
        </w:rPr>
      </w:pPr>
      <w:r>
        <w:rPr>
          <w:color w:val="FF0000"/>
        </w:rPr>
      </w:r>
    </w:p>
    <w:p>
      <w:pPr>
        <w:pStyle w:val="Normal"/>
        <w:ind w:left="360" w:right="0" w:hanging="0"/>
        <w:jc w:val="center"/>
        <w:rPr/>
      </w:pPr>
      <w:r>
        <w:rPr/>
      </w:r>
    </w:p>
    <w:p>
      <w:pPr>
        <w:pStyle w:val="Normal"/>
        <w:ind w:left="360" w:right="0" w:hanging="0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ZurichBT-Roman" w:ascii="ZurichBT-Roman" w:hAnsi="ZurichBT-Roman"/>
          <w:b/>
          <w:sz w:val="28"/>
          <w:szCs w:val="28"/>
        </w:rPr>
      </w:pPr>
      <w:r>
        <w:rPr>
          <w:rFonts w:cs="ZurichBT-Roman" w:ascii="ZurichBT-Roman" w:hAnsi="ZurichBT-Roman"/>
          <w:b/>
          <w:sz w:val="28"/>
          <w:szCs w:val="28"/>
        </w:rPr>
      </w:r>
    </w:p>
    <w:p>
      <w:pPr>
        <w:sectPr>
          <w:footnotePr>
            <w:numFmt w:val="decimal"/>
          </w:footnotePr>
          <w:type w:val="continuous"/>
          <w:pgSz w:w="11906" w:h="16838"/>
          <w:pgMar w:left="1134" w:right="1134" w:header="0" w:top="1418" w:footer="709" w:bottom="1134" w:gutter="0"/>
          <w:formProt w:val="false"/>
          <w:textDirection w:val="lrTb"/>
          <w:docGrid w:type="default" w:linePitch="360" w:charSpace="0"/>
        </w:sectPr>
      </w:pPr>
    </w:p>
    <w:sectPr>
      <w:footnotePr>
        <w:numFmt w:val="decimal"/>
      </w:footnotePr>
      <w:type w:val="continuous"/>
      <w:pgSz w:w="11906" w:h="16838"/>
      <w:pgMar w:left="1134" w:right="1134" w:header="0" w:top="1418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1"/>
    <w:family w:val="swiss"/>
    <w:pitch w:val="variable"/>
  </w:font>
  <w:font w:name="Verdana">
    <w:charset w:val="00"/>
    <w:family w:val="swiss"/>
    <w:pitch w:val="variable"/>
  </w:font>
  <w:font w:name="Tahoma">
    <w:charset w:val="00"/>
    <w:family w:val="swiss"/>
    <w:pitch w:val="variable"/>
  </w:font>
  <w:font w:name="Times New (W1)">
    <w:altName w:val="Times New Roman"/>
    <w:charset w:val="00"/>
    <w:family w:val="roman"/>
    <w:pitch w:val="variable"/>
  </w:font>
  <w:font w:name="Trebuchet MS">
    <w:charset w:val="00"/>
    <w:family w:val="swiss"/>
    <w:pitch w:val="variable"/>
  </w:font>
  <w:font w:name="ZurichBT-Roman">
    <w:charset w:val="00"/>
    <w:family w:val="swiss"/>
    <w:pitch w:val="default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14</w:t>
    </w:r>
    <w:r>
      <w:fldChar w:fldCharType="end"/>
    </w:r>
  </w:p>
  <w:p>
    <w:pPr>
      <w:pStyle w:val="Pidipagina"/>
      <w:rPr/>
    </w:pPr>
    <w:r>
      <w:rPr/>
    </w:r>
  </w:p>
</w:ftr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/>
        <w:footnoteRef/>
        <w:tab/>
        <w:t xml:space="preserve"> </w:t>
      </w:r>
      <w:r>
        <w:rPr/>
        <w:t>Le mansioni possono essere identificate anche mediante codice.</w:t>
      </w:r>
    </w:p>
    <w:p>
      <w:pPr>
        <w:pStyle w:val="Notaapidipagina"/>
        <w:rPr/>
      </w:pPr>
      <w:r>
        <w:rPr/>
      </w:r>
    </w:p>
  </w:footnote>
  <w:footnote w:id="3">
    <w:p>
      <w:pPr>
        <w:pStyle w:val="Notaapidipagina"/>
        <w:rPr/>
      </w:pPr>
      <w:r>
        <w:rPr/>
        <w:footnoteRef/>
        <w:tab/>
        <w:t xml:space="preserve"> </w:t>
      </w:r>
      <w:r>
        <w:rPr/>
        <w:t>Se necessario inserire la fase del ciclo lavorativo/attività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16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dstrike w:val="false"/>
        <w:strike w:val="false"/>
        <w:sz w:val="20"/>
        <w:szCs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16"/>
      </w:rPr>
    </w:lvl>
  </w:abstractNum>
  <w:abstractNum w:abstractNumId="12">
    <w:lvl w:ilvl="0">
      <w:start w:val="1"/>
      <w:numFmt w:val="bullet"/>
      <w:lvlText w:val=""/>
      <w:lvlJc w:val="left"/>
      <w:pPr>
        <w:tabs>
          <w:tab w:val="num" w:pos="708"/>
        </w:tabs>
        <w:ind w:left="1363" w:hanging="283"/>
      </w:pPr>
      <w:rPr>
        <w:rFonts w:ascii="Wingdings" w:hAnsi="Wingdings" w:cs="Wingdings" w:hint="default"/>
        <w:sz w:val="28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"/>
      <w:lvlJc w:val="left"/>
      <w:pPr>
        <w:tabs>
          <w:tab w:val="num" w:pos="708"/>
        </w:tabs>
        <w:ind w:left="1363" w:hanging="283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16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6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18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16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16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16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16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Titolo1">
    <w:name w:val="Titolo 1"/>
    <w:basedOn w:val="Normal"/>
    <w:next w:val="Normal"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Titolo 2"/>
    <w:basedOn w:val="Normal"/>
    <w:next w:val="Normal"/>
    <w:pPr>
      <w:keepNext/>
      <w:numPr>
        <w:ilvl w:val="1"/>
        <w:numId w:val="1"/>
      </w:numPr>
      <w:spacing w:before="240" w:after="0"/>
      <w:outlineLvl w:val="1"/>
      <w:outlineLvl w:val="1"/>
    </w:pPr>
    <w:rPr>
      <w:b/>
      <w:szCs w:val="20"/>
    </w:rPr>
  </w:style>
  <w:style w:type="paragraph" w:styleId="Titolo3">
    <w:name w:val="Titolo 3"/>
    <w:basedOn w:val="Normal"/>
    <w:next w:val="Normal"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Titolo 4"/>
    <w:basedOn w:val="Normal"/>
    <w:next w:val="Normal"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Titolo5">
    <w:name w:val="Titolo 5"/>
    <w:basedOn w:val="Normal"/>
    <w:next w:val="Normal"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Titolo9">
    <w:name w:val="Titolo 9"/>
    <w:basedOn w:val="Normal"/>
    <w:next w:val="Normal"/>
    <w:pPr>
      <w:numPr>
        <w:ilvl w:val="8"/>
        <w:numId w:val="1"/>
      </w:numPr>
      <w:spacing w:before="240" w:after="60"/>
      <w:outlineLvl w:val="8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rPr>
      <w:rFonts w:ascii="Symbol" w:hAnsi="Symbol" w:cs="Symbol"/>
      <w:color w:val="000000"/>
      <w:sz w:val="20"/>
    </w:rPr>
  </w:style>
  <w:style w:type="character" w:styleId="WW8Num1z2">
    <w:name w:val="WW8Num1z2"/>
    <w:rPr>
      <w:rFonts w:ascii="Wingdings" w:hAnsi="Wingdings" w:cs="Wingdings"/>
    </w:rPr>
  </w:style>
  <w:style w:type="character" w:styleId="WW8Num1z3">
    <w:name w:val="WW8Num1z3"/>
    <w:rPr>
      <w:rFonts w:ascii="Symbol" w:hAnsi="Symbol" w:cs="Symbol"/>
    </w:rPr>
  </w:style>
  <w:style w:type="character" w:styleId="WW8Num1z4">
    <w:name w:val="WW8Num1z4"/>
    <w:rPr>
      <w:rFonts w:ascii="Courier New" w:hAnsi="Courier New" w:cs="Courier New"/>
    </w:rPr>
  </w:style>
  <w:style w:type="character" w:styleId="WW8Num2z0">
    <w:name w:val="WW8Num2z0"/>
    <w:rPr>
      <w:rFonts w:ascii="Symbol" w:hAnsi="Symbol" w:cs="Symbol"/>
      <w:color w:val="000000"/>
    </w:rPr>
  </w:style>
  <w:style w:type="character" w:styleId="WW8Num2z1">
    <w:name w:val="WW8Num2z1"/>
    <w:rPr>
      <w:rFonts w:ascii="Courier New" w:hAnsi="Courier New" w:cs="Courier New"/>
    </w:rPr>
  </w:style>
  <w:style w:type="character" w:styleId="WW8Num2z2">
    <w:name w:val="WW8Num2z2"/>
    <w:rPr>
      <w:rFonts w:ascii="Wingdings" w:hAnsi="Wingdings" w:cs="Wingdings"/>
    </w:rPr>
  </w:style>
  <w:style w:type="character" w:styleId="WW8Num2z3">
    <w:name w:val="WW8Num2z3"/>
    <w:rPr>
      <w:rFonts w:ascii="Symbol" w:hAnsi="Symbol" w:cs="Symbol"/>
    </w:rPr>
  </w:style>
  <w:style w:type="character" w:styleId="WW8Num3z0">
    <w:name w:val="WW8Num3z0"/>
    <w:rPr>
      <w:rFonts w:ascii="Symbol" w:hAnsi="Symbol" w:cs="Symbol"/>
      <w:color w:val="000000"/>
      <w:sz w:val="20"/>
      <w:szCs w:val="20"/>
    </w:rPr>
  </w:style>
  <w:style w:type="character" w:styleId="WW8Num3z1">
    <w:name w:val="WW8Num3z1"/>
    <w:rPr>
      <w:rFonts w:ascii="Courier New" w:hAnsi="Courier New" w:cs="Courier New"/>
    </w:rPr>
  </w:style>
  <w:style w:type="character" w:styleId="WW8Num3z2">
    <w:name w:val="WW8Num3z2"/>
    <w:rPr>
      <w:rFonts w:ascii="Wingdings" w:hAnsi="Wingdings" w:cs="Wingdings"/>
    </w:rPr>
  </w:style>
  <w:style w:type="character" w:styleId="WW8Num3z3">
    <w:name w:val="WW8Num3z3"/>
    <w:rPr>
      <w:rFonts w:ascii="Symbol" w:hAnsi="Symbol" w:cs="Symbol"/>
    </w:rPr>
  </w:style>
  <w:style w:type="character" w:styleId="WW8Num4z0">
    <w:name w:val="WW8Num4z0"/>
    <w:rPr>
      <w:rFonts w:ascii="Symbol" w:hAnsi="Symbol" w:cs="Symbol"/>
      <w:sz w:val="20"/>
      <w:szCs w:val="16"/>
    </w:rPr>
  </w:style>
  <w:style w:type="character" w:styleId="WW8Num4z1">
    <w:name w:val="WW8Num4z1"/>
    <w:rPr>
      <w:rFonts w:ascii="Courier New" w:hAnsi="Courier New" w:cs="Courier New"/>
    </w:rPr>
  </w:style>
  <w:style w:type="character" w:styleId="WW8Num4z2">
    <w:name w:val="WW8Num4z2"/>
    <w:rPr>
      <w:rFonts w:ascii="Wingdings" w:hAnsi="Wingdings" w:cs="Wingdings"/>
    </w:rPr>
  </w:style>
  <w:style w:type="character" w:styleId="WW8Num5z0">
    <w:name w:val="WW8Num5z0"/>
    <w:rPr>
      <w:rFonts w:ascii="Symbol" w:hAnsi="Symbol" w:cs="Symbol"/>
      <w:strike w:val="false"/>
      <w:dstrike w:val="false"/>
      <w:color w:val="000000"/>
      <w:sz w:val="20"/>
      <w:szCs w:val="20"/>
    </w:rPr>
  </w:style>
  <w:style w:type="character" w:styleId="WW8Num5z1">
    <w:name w:val="WW8Num5z1"/>
    <w:rPr>
      <w:rFonts w:ascii="Courier New" w:hAnsi="Courier New" w:cs="Courier New"/>
    </w:rPr>
  </w:style>
  <w:style w:type="character" w:styleId="WW8Num5z2">
    <w:name w:val="WW8Num5z2"/>
    <w:rPr>
      <w:rFonts w:ascii="Wingdings" w:hAnsi="Wingdings" w:cs="Wingdings"/>
    </w:rPr>
  </w:style>
  <w:style w:type="character" w:styleId="WW8Num5z3">
    <w:name w:val="WW8Num5z3"/>
    <w:rPr>
      <w:rFonts w:ascii="Symbol" w:hAnsi="Symbol" w:cs="Symbol"/>
    </w:rPr>
  </w:style>
  <w:style w:type="character" w:styleId="WW8Num6z0">
    <w:name w:val="WW8Num6z0"/>
    <w:rPr>
      <w:rFonts w:ascii="Symbol" w:hAnsi="Symbol" w:cs="Symbol"/>
      <w:sz w:val="20"/>
      <w:szCs w:val="20"/>
    </w:rPr>
  </w:style>
  <w:style w:type="character" w:styleId="WW8Num6z1">
    <w:name w:val="WW8Num6z1"/>
    <w:rPr>
      <w:rFonts w:ascii="Courier New" w:hAnsi="Courier New" w:cs="Courier New"/>
    </w:rPr>
  </w:style>
  <w:style w:type="character" w:styleId="WW8Num6z2">
    <w:name w:val="WW8Num6z2"/>
    <w:rPr>
      <w:rFonts w:ascii="Wingdings" w:hAnsi="Wingdings" w:cs="Wingdings"/>
    </w:rPr>
  </w:style>
  <w:style w:type="character" w:styleId="WW8Num7z0">
    <w:name w:val="WW8Num7z0"/>
    <w:rPr>
      <w:rFonts w:ascii="Symbol" w:hAnsi="Symbol" w:cs="Symbol"/>
    </w:rPr>
  </w:style>
  <w:style w:type="character" w:styleId="WW8Num7z1">
    <w:name w:val="WW8Num7z1"/>
    <w:rPr>
      <w:rFonts w:ascii="Courier New" w:hAnsi="Courier New" w:cs="Courier New"/>
    </w:rPr>
  </w:style>
  <w:style w:type="character" w:styleId="WW8Num7z2">
    <w:name w:val="WW8Num7z2"/>
    <w:rPr>
      <w:rFonts w:ascii="Wingdings" w:hAnsi="Wingdings" w:cs="Wingdings"/>
    </w:rPr>
  </w:style>
  <w:style w:type="character" w:styleId="WW8Num8z0">
    <w:name w:val="WW8Num8z0"/>
    <w:rPr>
      <w:rFonts w:ascii="Symbol" w:hAnsi="Symbol" w:cs="Symbol"/>
    </w:rPr>
  </w:style>
  <w:style w:type="character" w:styleId="WW8Num8z1">
    <w:name w:val="WW8Num8z1"/>
    <w:rPr>
      <w:rFonts w:ascii="Courier New" w:hAnsi="Courier New" w:cs="Courier New"/>
    </w:rPr>
  </w:style>
  <w:style w:type="character" w:styleId="WW8Num8z2">
    <w:name w:val="WW8Num8z2"/>
    <w:rPr>
      <w:rFonts w:ascii="Wingdings" w:hAnsi="Wingdings" w:cs="Wingdings"/>
    </w:rPr>
  </w:style>
  <w:style w:type="character" w:styleId="WW8Num9z0">
    <w:name w:val="WW8Num9z0"/>
    <w:rPr>
      <w:rFonts w:ascii="Symbol" w:hAnsi="Symbol" w:cs="Symbol"/>
    </w:rPr>
  </w:style>
  <w:style w:type="character" w:styleId="WW8Num9z1">
    <w:name w:val="WW8Num9z1"/>
    <w:rPr>
      <w:rFonts w:ascii="Courier New" w:hAnsi="Courier New" w:cs="Courier New"/>
    </w:rPr>
  </w:style>
  <w:style w:type="character" w:styleId="WW8Num9z2">
    <w:name w:val="WW8Num9z2"/>
    <w:rPr>
      <w:rFonts w:ascii="Wingdings" w:hAnsi="Wingdings" w:cs="Wingdings"/>
    </w:rPr>
  </w:style>
  <w:style w:type="character" w:styleId="WW8Num10z0">
    <w:name w:val="WW8Num10z0"/>
    <w:rPr>
      <w:rFonts w:ascii="Symbol" w:hAnsi="Symbol" w:cs="Symbol"/>
    </w:rPr>
  </w:style>
  <w:style w:type="character" w:styleId="WW8Num10z1">
    <w:name w:val="WW8Num10z1"/>
    <w:rPr>
      <w:rFonts w:ascii="Courier New" w:hAnsi="Courier New" w:cs="Courier New"/>
    </w:rPr>
  </w:style>
  <w:style w:type="character" w:styleId="WW8Num10z2">
    <w:name w:val="WW8Num10z2"/>
    <w:rPr>
      <w:rFonts w:ascii="Wingdings" w:hAnsi="Wingdings" w:cs="Wingdings"/>
    </w:rPr>
  </w:style>
  <w:style w:type="character" w:styleId="WW8Num11z0">
    <w:name w:val="WW8Num11z0"/>
    <w:rPr>
      <w:rFonts w:cs="Times New Roman"/>
    </w:rPr>
  </w:style>
  <w:style w:type="character" w:styleId="WW8Num12z0">
    <w:name w:val="WW8Num12z0"/>
    <w:rPr>
      <w:rFonts w:ascii="Symbol" w:hAnsi="Symbol" w:cs="Symbol"/>
    </w:rPr>
  </w:style>
  <w:style w:type="character" w:styleId="WW8Num12z1">
    <w:name w:val="WW8Num12z1"/>
    <w:rPr>
      <w:rFonts w:ascii="Courier New" w:hAnsi="Courier New" w:cs="Courier New"/>
    </w:rPr>
  </w:style>
  <w:style w:type="character" w:styleId="WW8Num12z2">
    <w:name w:val="WW8Num12z2"/>
    <w:rPr>
      <w:rFonts w:ascii="Wingdings" w:hAnsi="Wingdings" w:cs="Wingdings"/>
    </w:rPr>
  </w:style>
  <w:style w:type="character" w:styleId="WW8Num13z0">
    <w:name w:val="WW8Num13z0"/>
    <w:rPr>
      <w:rFonts w:ascii="Symbol" w:hAnsi="Symbol" w:cs="Symbol"/>
      <w:sz w:val="20"/>
      <w:szCs w:val="20"/>
    </w:rPr>
  </w:style>
  <w:style w:type="character" w:styleId="WW8Num13z1">
    <w:name w:val="WW8Num13z1"/>
    <w:rPr>
      <w:rFonts w:ascii="Courier New" w:hAnsi="Courier New" w:cs="Courier New"/>
    </w:rPr>
  </w:style>
  <w:style w:type="character" w:styleId="WW8Num13z2">
    <w:name w:val="WW8Num13z2"/>
    <w:rPr>
      <w:rFonts w:ascii="Wingdings" w:hAnsi="Wingdings" w:cs="Wingdings"/>
    </w:rPr>
  </w:style>
  <w:style w:type="character" w:styleId="WW8Num14z0">
    <w:name w:val="WW8Num14z0"/>
    <w:rPr>
      <w:rFonts w:ascii="Symbol" w:hAnsi="Symbol" w:cs="Symbol"/>
      <w:sz w:val="20"/>
      <w:szCs w:val="16"/>
    </w:rPr>
  </w:style>
  <w:style w:type="character" w:styleId="WW8Num14z1">
    <w:name w:val="WW8Num14z1"/>
    <w:rPr>
      <w:rFonts w:ascii="Courier New" w:hAnsi="Courier New" w:cs="Courier New"/>
    </w:rPr>
  </w:style>
  <w:style w:type="character" w:styleId="WW8Num14z2">
    <w:name w:val="WW8Num14z2"/>
    <w:rPr>
      <w:rFonts w:ascii="Wingdings" w:hAnsi="Wingdings" w:cs="Wingdings"/>
    </w:rPr>
  </w:style>
  <w:style w:type="character" w:styleId="WW8Num15z0">
    <w:name w:val="WW8Num15z0"/>
    <w:rPr>
      <w:rFonts w:ascii="Wingdings" w:hAnsi="Wingdings" w:cs="Wingdings"/>
      <w:sz w:val="28"/>
    </w:rPr>
  </w:style>
  <w:style w:type="character" w:styleId="WW8Num15z1">
    <w:name w:val="WW8Num15z1"/>
    <w:rPr>
      <w:rFonts w:ascii="Courier New" w:hAnsi="Courier New" w:cs="Courier New"/>
    </w:rPr>
  </w:style>
  <w:style w:type="character" w:styleId="WW8Num15z2">
    <w:name w:val="WW8Num15z2"/>
    <w:rPr>
      <w:rFonts w:ascii="Wingdings" w:hAnsi="Wingdings" w:cs="Wingdings"/>
    </w:rPr>
  </w:style>
  <w:style w:type="character" w:styleId="WW8Num15z3">
    <w:name w:val="WW8Num15z3"/>
    <w:rPr>
      <w:rFonts w:ascii="Symbol" w:hAnsi="Symbol" w:cs="Symbol"/>
    </w:rPr>
  </w:style>
  <w:style w:type="character" w:styleId="WW8Num16z0">
    <w:name w:val="WW8Num16z0"/>
    <w:rPr>
      <w:rFonts w:ascii="Symbol" w:hAnsi="Symbol" w:cs="Symbol"/>
      <w:sz w:val="20"/>
      <w:szCs w:val="20"/>
    </w:rPr>
  </w:style>
  <w:style w:type="character" w:styleId="WW8Num16z1">
    <w:name w:val="WW8Num16z1"/>
    <w:rPr>
      <w:rFonts w:ascii="Courier New" w:hAnsi="Courier New" w:cs="Courier New"/>
    </w:rPr>
  </w:style>
  <w:style w:type="character" w:styleId="WW8Num16z2">
    <w:name w:val="WW8Num16z2"/>
    <w:rPr>
      <w:rFonts w:ascii="Wingdings" w:hAnsi="Wingdings" w:cs="Wingdings"/>
    </w:rPr>
  </w:style>
  <w:style w:type="character" w:styleId="WW8Num17z0">
    <w:name w:val="WW8Num17z0"/>
    <w:rPr>
      <w:rFonts w:ascii="Symbol" w:hAnsi="Symbol" w:cs="Symbol"/>
    </w:rPr>
  </w:style>
  <w:style w:type="character" w:styleId="WW8Num17z1">
    <w:name w:val="WW8Num17z1"/>
    <w:rPr>
      <w:rFonts w:ascii="Wingdings" w:hAnsi="Wingdings" w:cs="Wingdings"/>
      <w:sz w:val="28"/>
    </w:rPr>
  </w:style>
  <w:style w:type="character" w:styleId="WW8Num17z2">
    <w:name w:val="WW8Num17z2"/>
    <w:rPr>
      <w:rFonts w:ascii="Wingdings" w:hAnsi="Wingdings" w:cs="Wingdings"/>
    </w:rPr>
  </w:style>
  <w:style w:type="character" w:styleId="WW8Num17z4">
    <w:name w:val="WW8Num17z4"/>
    <w:rPr>
      <w:rFonts w:ascii="Courier New" w:hAnsi="Courier New" w:cs="Courier New"/>
    </w:rPr>
  </w:style>
  <w:style w:type="character" w:styleId="WW8Num18z0">
    <w:name w:val="WW8Num18z0"/>
    <w:rPr>
      <w:rFonts w:ascii="Symbol" w:hAnsi="Symbol" w:cs="Symbol"/>
      <w:strike w:val="false"/>
      <w:dstrike w:val="false"/>
    </w:rPr>
  </w:style>
  <w:style w:type="character" w:styleId="WW8Num18z1">
    <w:name w:val="WW8Num18z1"/>
    <w:rPr>
      <w:rFonts w:ascii="Courier New" w:hAnsi="Courier New" w:cs="Courier New"/>
    </w:rPr>
  </w:style>
  <w:style w:type="character" w:styleId="WW8Num18z2">
    <w:name w:val="WW8Num18z2"/>
    <w:rPr>
      <w:rFonts w:ascii="Symbol" w:hAnsi="Symbol" w:cs="Symbol"/>
    </w:rPr>
  </w:style>
  <w:style w:type="character" w:styleId="WW8Num18z5">
    <w:name w:val="WW8Num18z5"/>
    <w:rPr>
      <w:rFonts w:ascii="Wingdings" w:hAnsi="Wingdings" w:cs="Wingdings"/>
    </w:rPr>
  </w:style>
  <w:style w:type="character" w:styleId="WW8Num19z0">
    <w:name w:val="WW8Num19z0"/>
    <w:rPr>
      <w:rFonts w:ascii="Symbol" w:hAnsi="Symbol" w:cs="Symbol"/>
      <w:sz w:val="20"/>
      <w:szCs w:val="16"/>
    </w:rPr>
  </w:style>
  <w:style w:type="character" w:styleId="WW8Num19z1">
    <w:name w:val="WW8Num19z1"/>
    <w:rPr>
      <w:rFonts w:ascii="Courier New" w:hAnsi="Courier New" w:cs="Courier New"/>
    </w:rPr>
  </w:style>
  <w:style w:type="character" w:styleId="WW8Num19z2">
    <w:name w:val="WW8Num19z2"/>
    <w:rPr>
      <w:rFonts w:ascii="Wingdings" w:hAnsi="Wingdings" w:cs="Wingdings"/>
    </w:rPr>
  </w:style>
  <w:style w:type="character" w:styleId="WW8Num20z0">
    <w:name w:val="WW8Num20z0"/>
    <w:rPr>
      <w:rFonts w:ascii="Symbol" w:hAnsi="Symbol" w:cs="Symbol"/>
      <w:sz w:val="18"/>
      <w:szCs w:val="16"/>
    </w:rPr>
  </w:style>
  <w:style w:type="character" w:styleId="WW8Num20z1">
    <w:name w:val="WW8Num20z1"/>
    <w:rPr>
      <w:rFonts w:ascii="Courier New" w:hAnsi="Courier New" w:cs="Courier New"/>
    </w:rPr>
  </w:style>
  <w:style w:type="character" w:styleId="WW8Num20z2">
    <w:name w:val="WW8Num20z2"/>
    <w:rPr>
      <w:rFonts w:ascii="Wingdings" w:hAnsi="Wingdings" w:cs="Wingdings"/>
    </w:rPr>
  </w:style>
  <w:style w:type="character" w:styleId="WW8Num21z0">
    <w:name w:val="WW8Num21z0"/>
    <w:rPr>
      <w:rFonts w:ascii="Symbol" w:hAnsi="Symbol" w:cs="Symbol"/>
      <w:sz w:val="20"/>
      <w:szCs w:val="20"/>
    </w:rPr>
  </w:style>
  <w:style w:type="character" w:styleId="WW8Num21z1">
    <w:name w:val="WW8Num21z1"/>
    <w:rPr>
      <w:rFonts w:ascii="Courier New" w:hAnsi="Courier New" w:cs="Courier New"/>
    </w:rPr>
  </w:style>
  <w:style w:type="character" w:styleId="WW8Num21z2">
    <w:name w:val="WW8Num21z2"/>
    <w:rPr>
      <w:rFonts w:ascii="Wingdings" w:hAnsi="Wingdings" w:cs="Wingdings"/>
    </w:rPr>
  </w:style>
  <w:style w:type="character" w:styleId="WW8Num22z0">
    <w:name w:val="WW8Num22z0"/>
    <w:rPr>
      <w:rFonts w:ascii="Symbol" w:hAnsi="Symbol" w:cs="Symbol"/>
      <w:sz w:val="20"/>
      <w:szCs w:val="20"/>
    </w:rPr>
  </w:style>
  <w:style w:type="character" w:styleId="WW8Num22z1">
    <w:name w:val="WW8Num22z1"/>
    <w:rPr>
      <w:rFonts w:ascii="Courier New" w:hAnsi="Courier New" w:cs="Courier New"/>
    </w:rPr>
  </w:style>
  <w:style w:type="character" w:styleId="WW8Num22z2">
    <w:name w:val="WW8Num22z2"/>
    <w:rPr>
      <w:rFonts w:ascii="Wingdings" w:hAnsi="Wingdings" w:cs="Wingdings"/>
    </w:rPr>
  </w:style>
  <w:style w:type="character" w:styleId="WW8Num23z0">
    <w:name w:val="WW8Num23z0"/>
    <w:rPr>
      <w:rFonts w:ascii="Symbol" w:hAnsi="Symbol" w:cs="Symbol"/>
    </w:rPr>
  </w:style>
  <w:style w:type="character" w:styleId="WW8Num23z1">
    <w:name w:val="WW8Num23z1"/>
    <w:rPr>
      <w:rFonts w:ascii="Courier New" w:hAnsi="Courier New" w:cs="Courier New"/>
    </w:rPr>
  </w:style>
  <w:style w:type="character" w:styleId="WW8Num23z2">
    <w:name w:val="WW8Num23z2"/>
    <w:rPr>
      <w:rFonts w:ascii="Wingdings" w:hAnsi="Wingdings" w:cs="Wingdings"/>
    </w:rPr>
  </w:style>
  <w:style w:type="character" w:styleId="WW8Num24z0">
    <w:name w:val="WW8Num24z0"/>
    <w:rPr>
      <w:rFonts w:ascii="Times New Roman" w:hAnsi="Times New Roman" w:eastAsia="Times New Roman" w:cs="Times New Roman"/>
    </w:rPr>
  </w:style>
  <w:style w:type="character" w:styleId="WW8Num24z1">
    <w:name w:val="WW8Num24z1"/>
    <w:rPr>
      <w:rFonts w:ascii="Courier New" w:hAnsi="Courier New" w:cs="Courier New"/>
    </w:rPr>
  </w:style>
  <w:style w:type="character" w:styleId="WW8Num24z2">
    <w:name w:val="WW8Num24z2"/>
    <w:rPr>
      <w:rFonts w:ascii="Wingdings" w:hAnsi="Wingdings" w:cs="Wingdings"/>
    </w:rPr>
  </w:style>
  <w:style w:type="character" w:styleId="WW8Num24z3">
    <w:name w:val="WW8Num24z3"/>
    <w:rPr>
      <w:rFonts w:ascii="Symbol" w:hAnsi="Symbol" w:cs="Symbol"/>
    </w:rPr>
  </w:style>
  <w:style w:type="character" w:styleId="WW8Num25z0">
    <w:name w:val="WW8Num25z0"/>
    <w:rPr>
      <w:rFonts w:ascii="Symbol" w:hAnsi="Symbol" w:cs="Symbol"/>
      <w:sz w:val="20"/>
      <w:szCs w:val="18"/>
    </w:rPr>
  </w:style>
  <w:style w:type="character" w:styleId="WW8Num25z1">
    <w:name w:val="WW8Num25z1"/>
    <w:rPr>
      <w:rFonts w:ascii="Courier New" w:hAnsi="Courier New" w:cs="Courier New"/>
    </w:rPr>
  </w:style>
  <w:style w:type="character" w:styleId="WW8Num25z2">
    <w:name w:val="WW8Num25z2"/>
    <w:rPr>
      <w:rFonts w:ascii="Wingdings" w:hAnsi="Wingdings" w:cs="Wingdings"/>
    </w:rPr>
  </w:style>
  <w:style w:type="character" w:styleId="WW8Num26z0">
    <w:name w:val="WW8Num26z0"/>
    <w:rPr>
      <w:rFonts w:cs="Times New Roman"/>
    </w:rPr>
  </w:style>
  <w:style w:type="character" w:styleId="WW8Num27z0">
    <w:name w:val="WW8Num27z0"/>
    <w:rPr>
      <w:rFonts w:ascii="Symbol" w:hAnsi="Symbol" w:cs="Symbol"/>
      <w:sz w:val="20"/>
      <w:szCs w:val="20"/>
    </w:rPr>
  </w:style>
  <w:style w:type="character" w:styleId="WW8Num27z1">
    <w:name w:val="WW8Num27z1"/>
    <w:rPr>
      <w:rFonts w:ascii="Courier New" w:hAnsi="Courier New" w:cs="Courier New"/>
    </w:rPr>
  </w:style>
  <w:style w:type="character" w:styleId="WW8Num27z2">
    <w:name w:val="WW8Num27z2"/>
    <w:rPr>
      <w:rFonts w:ascii="Wingdings" w:hAnsi="Wingdings" w:cs="Wingdings"/>
    </w:rPr>
  </w:style>
  <w:style w:type="character" w:styleId="WW8Num28z0">
    <w:name w:val="WW8Num28z0"/>
    <w:rPr>
      <w:rFonts w:ascii="Symbol" w:hAnsi="Symbol" w:cs="Symbol"/>
    </w:rPr>
  </w:style>
  <w:style w:type="character" w:styleId="WW8Num28z1">
    <w:name w:val="WW8Num28z1"/>
    <w:rPr>
      <w:rFonts w:ascii="Courier New" w:hAnsi="Courier New" w:cs="Courier New"/>
    </w:rPr>
  </w:style>
  <w:style w:type="character" w:styleId="WW8Num28z2">
    <w:name w:val="WW8Num28z2"/>
    <w:rPr>
      <w:rFonts w:ascii="Wingdings" w:hAnsi="Wingdings" w:cs="Wingdings"/>
    </w:rPr>
  </w:style>
  <w:style w:type="character" w:styleId="WW8Num29z0">
    <w:name w:val="WW8Num29z0"/>
    <w:rPr>
      <w:rFonts w:ascii="Symbol" w:hAnsi="Symbol" w:cs="Symbol"/>
    </w:rPr>
  </w:style>
  <w:style w:type="character" w:styleId="WW8Num29z1">
    <w:name w:val="WW8Num29z1"/>
    <w:rPr>
      <w:rFonts w:ascii="Courier New" w:hAnsi="Courier New" w:cs="Courier New"/>
    </w:rPr>
  </w:style>
  <w:style w:type="character" w:styleId="WW8Num29z2">
    <w:name w:val="WW8Num29z2"/>
    <w:rPr>
      <w:rFonts w:ascii="Wingdings" w:hAnsi="Wingdings" w:cs="Wingdings"/>
    </w:rPr>
  </w:style>
  <w:style w:type="character" w:styleId="WW8Num30z0">
    <w:name w:val="WW8Num30z0"/>
    <w:rPr>
      <w:rFonts w:ascii="Symbol" w:hAnsi="Symbol" w:cs="Symbol"/>
      <w:sz w:val="20"/>
      <w:szCs w:val="16"/>
    </w:rPr>
  </w:style>
  <w:style w:type="character" w:styleId="WW8Num30z1">
    <w:name w:val="WW8Num30z1"/>
    <w:rPr>
      <w:rFonts w:ascii="Courier New" w:hAnsi="Courier New" w:cs="Courier New"/>
    </w:rPr>
  </w:style>
  <w:style w:type="character" w:styleId="WW8Num30z2">
    <w:name w:val="WW8Num30z2"/>
    <w:rPr>
      <w:rFonts w:ascii="Wingdings" w:hAnsi="Wingdings" w:cs="Wingdings"/>
    </w:rPr>
  </w:style>
  <w:style w:type="character" w:styleId="WW8Num31z0">
    <w:name w:val="WW8Num31z0"/>
    <w:rPr>
      <w:rFonts w:ascii="Symbol" w:hAnsi="Symbol" w:cs="Symbol"/>
    </w:rPr>
  </w:style>
  <w:style w:type="character" w:styleId="WW8Num31z1">
    <w:name w:val="WW8Num31z1"/>
    <w:rPr>
      <w:rFonts w:ascii="Courier New" w:hAnsi="Courier New" w:cs="Courier New"/>
    </w:rPr>
  </w:style>
  <w:style w:type="character" w:styleId="WW8Num31z2">
    <w:name w:val="WW8Num31z2"/>
    <w:rPr>
      <w:rFonts w:ascii="Wingdings" w:hAnsi="Wingdings" w:cs="Wingdings"/>
    </w:rPr>
  </w:style>
  <w:style w:type="character" w:styleId="WW8Num32z0">
    <w:name w:val="WW8Num32z0"/>
    <w:rPr>
      <w:rFonts w:ascii="Symbol" w:hAnsi="Symbol" w:cs="Symbol"/>
    </w:rPr>
  </w:style>
  <w:style w:type="character" w:styleId="WW8Num32z1">
    <w:name w:val="WW8Num32z1"/>
    <w:rPr>
      <w:rFonts w:ascii="Courier New" w:hAnsi="Courier New" w:cs="Courier New"/>
    </w:rPr>
  </w:style>
  <w:style w:type="character" w:styleId="WW8Num32z2">
    <w:name w:val="WW8Num32z2"/>
    <w:rPr>
      <w:rFonts w:ascii="Wingdings" w:hAnsi="Wingdings" w:cs="Wingdings"/>
    </w:rPr>
  </w:style>
  <w:style w:type="character" w:styleId="WW8Num33z0">
    <w:name w:val="WW8Num33z0"/>
    <w:rPr>
      <w:rFonts w:ascii="Symbol" w:hAnsi="Symbol" w:cs="Symbol"/>
      <w:sz w:val="20"/>
      <w:szCs w:val="16"/>
    </w:rPr>
  </w:style>
  <w:style w:type="character" w:styleId="WW8Num33z1">
    <w:name w:val="WW8Num33z1"/>
    <w:rPr>
      <w:rFonts w:ascii="Courier New" w:hAnsi="Courier New" w:cs="Courier New"/>
    </w:rPr>
  </w:style>
  <w:style w:type="character" w:styleId="WW8Num33z2">
    <w:name w:val="WW8Num33z2"/>
    <w:rPr>
      <w:rFonts w:ascii="Wingdings" w:hAnsi="Wingdings" w:cs="Wingdings"/>
    </w:rPr>
  </w:style>
  <w:style w:type="character" w:styleId="WW8Num34z0">
    <w:name w:val="WW8Num34z0"/>
    <w:rPr>
      <w:rFonts w:ascii="Symbol" w:hAnsi="Symbol" w:cs="Symbol"/>
    </w:rPr>
  </w:style>
  <w:style w:type="character" w:styleId="WW8Num34z1">
    <w:name w:val="WW8Num34z1"/>
    <w:rPr>
      <w:rFonts w:ascii="Courier New" w:hAnsi="Courier New" w:cs="Courier New"/>
    </w:rPr>
  </w:style>
  <w:style w:type="character" w:styleId="WW8Num34z2">
    <w:name w:val="WW8Num34z2"/>
    <w:rPr>
      <w:rFonts w:ascii="Wingdings" w:hAnsi="Wingdings" w:cs="Wingdings"/>
    </w:rPr>
  </w:style>
  <w:style w:type="character" w:styleId="WW8Num35z0">
    <w:name w:val="WW8Num35z0"/>
    <w:rPr>
      <w:rFonts w:ascii="Symbol" w:hAnsi="Symbol" w:cs="Symbol"/>
      <w:color w:val="000000"/>
      <w:sz w:val="20"/>
      <w:szCs w:val="20"/>
    </w:rPr>
  </w:style>
  <w:style w:type="character" w:styleId="WW8Num35z1">
    <w:name w:val="WW8Num35z1"/>
    <w:rPr>
      <w:rFonts w:ascii="Courier New" w:hAnsi="Courier New" w:cs="Courier New"/>
    </w:rPr>
  </w:style>
  <w:style w:type="character" w:styleId="WW8Num35z2">
    <w:name w:val="WW8Num35z2"/>
    <w:rPr>
      <w:rFonts w:ascii="Wingdings" w:hAnsi="Wingdings" w:cs="Wingdings"/>
    </w:rPr>
  </w:style>
  <w:style w:type="character" w:styleId="WW8Num35z3">
    <w:name w:val="WW8Num35z3"/>
    <w:rPr>
      <w:rFonts w:ascii="Symbol" w:hAnsi="Symbol" w:cs="Symbol"/>
    </w:rPr>
  </w:style>
  <w:style w:type="character" w:styleId="WW8Num36z0">
    <w:name w:val="WW8Num36z0"/>
    <w:rPr>
      <w:rFonts w:ascii="Symbol" w:hAnsi="Symbol" w:cs="Symbol"/>
    </w:rPr>
  </w:style>
  <w:style w:type="character" w:styleId="WW8Num36z1">
    <w:name w:val="WW8Num36z1"/>
    <w:rPr>
      <w:rFonts w:ascii="Courier New" w:hAnsi="Courier New" w:cs="Courier New"/>
    </w:rPr>
  </w:style>
  <w:style w:type="character" w:styleId="WW8Num36z2">
    <w:name w:val="WW8Num36z2"/>
    <w:rPr>
      <w:rFonts w:ascii="Wingdings" w:hAnsi="Wingdings" w:cs="Wingdings"/>
    </w:rPr>
  </w:style>
  <w:style w:type="character" w:styleId="WW8Num37z0">
    <w:name w:val="WW8Num37z0"/>
    <w:rPr>
      <w:rFonts w:ascii="Symbol" w:hAnsi="Symbol" w:cs="Symbol"/>
      <w:color w:val="000000"/>
      <w:sz w:val="20"/>
      <w:szCs w:val="20"/>
    </w:rPr>
  </w:style>
  <w:style w:type="character" w:styleId="WW8Num37z1">
    <w:name w:val="WW8Num37z1"/>
    <w:rPr>
      <w:rFonts w:ascii="Courier New" w:hAnsi="Courier New" w:cs="Courier New"/>
    </w:rPr>
  </w:style>
  <w:style w:type="character" w:styleId="WW8Num37z2">
    <w:name w:val="WW8Num37z2"/>
    <w:rPr>
      <w:rFonts w:ascii="Wingdings" w:hAnsi="Wingdings" w:cs="Wingdings"/>
    </w:rPr>
  </w:style>
  <w:style w:type="character" w:styleId="WW8Num37z3">
    <w:name w:val="WW8Num37z3"/>
    <w:rPr>
      <w:rFonts w:ascii="Symbol" w:hAnsi="Symbol" w:cs="Symbol"/>
    </w:rPr>
  </w:style>
  <w:style w:type="character" w:styleId="WW8Num38z0">
    <w:name w:val="WW8Num38z0"/>
    <w:rPr>
      <w:rFonts w:ascii="Symbol" w:hAnsi="Symbol" w:cs="Symbol"/>
    </w:rPr>
  </w:style>
  <w:style w:type="character" w:styleId="WW8Num38z1">
    <w:name w:val="WW8Num38z1"/>
    <w:rPr>
      <w:rFonts w:ascii="Courier New" w:hAnsi="Courier New" w:cs="Courier New"/>
    </w:rPr>
  </w:style>
  <w:style w:type="character" w:styleId="WW8Num38z2">
    <w:name w:val="WW8Num38z2"/>
    <w:rPr>
      <w:rFonts w:ascii="Wingdings" w:hAnsi="Wingdings" w:cs="Wingdings"/>
    </w:rPr>
  </w:style>
  <w:style w:type="character" w:styleId="WW8Num39z0">
    <w:name w:val="WW8Num39z0"/>
    <w:rPr>
      <w:rFonts w:ascii="Symbol" w:hAnsi="Symbol" w:cs="Symbol"/>
      <w:sz w:val="20"/>
      <w:szCs w:val="16"/>
    </w:rPr>
  </w:style>
  <w:style w:type="character" w:styleId="WW8Num39z1">
    <w:name w:val="WW8Num39z1"/>
    <w:rPr>
      <w:rFonts w:ascii="Courier New" w:hAnsi="Courier New" w:cs="Courier New"/>
    </w:rPr>
  </w:style>
  <w:style w:type="character" w:styleId="WW8Num39z2">
    <w:name w:val="WW8Num39z2"/>
    <w:rPr>
      <w:rFonts w:ascii="Wingdings" w:hAnsi="Wingdings" w:cs="Wingdings"/>
    </w:rPr>
  </w:style>
  <w:style w:type="character" w:styleId="WW8Num40z0">
    <w:name w:val="WW8Num40z0"/>
    <w:rPr>
      <w:rFonts w:cs="Times New Roman"/>
    </w:rPr>
  </w:style>
  <w:style w:type="character" w:styleId="WW8Num41z0">
    <w:name w:val="WW8Num41z0"/>
    <w:rPr>
      <w:rFonts w:ascii="Symbol" w:hAnsi="Symbol" w:cs="Symbol"/>
    </w:rPr>
  </w:style>
  <w:style w:type="character" w:styleId="WW8Num41z1">
    <w:name w:val="WW8Num41z1"/>
    <w:rPr>
      <w:rFonts w:ascii="Courier New" w:hAnsi="Courier New" w:cs="Courier New"/>
    </w:rPr>
  </w:style>
  <w:style w:type="character" w:styleId="WW8Num41z2">
    <w:name w:val="WW8Num41z2"/>
    <w:rPr>
      <w:rFonts w:ascii="Wingdings" w:hAnsi="Wingdings" w:cs="Wingdings"/>
    </w:rPr>
  </w:style>
  <w:style w:type="character" w:styleId="WW8Num42z0">
    <w:name w:val="WW8Num42z0"/>
    <w:rPr>
      <w:rFonts w:ascii="Symbol" w:hAnsi="Symbol" w:cs="Symbol"/>
      <w:sz w:val="20"/>
      <w:szCs w:val="16"/>
    </w:rPr>
  </w:style>
  <w:style w:type="character" w:styleId="WW8Num42z1">
    <w:name w:val="WW8Num42z1"/>
    <w:rPr>
      <w:rFonts w:ascii="Courier New" w:hAnsi="Courier New" w:cs="Courier New"/>
    </w:rPr>
  </w:style>
  <w:style w:type="character" w:styleId="WW8Num42z2">
    <w:name w:val="WW8Num42z2"/>
    <w:rPr>
      <w:rFonts w:ascii="Wingdings" w:hAnsi="Wingdings" w:cs="Wingdings"/>
    </w:rPr>
  </w:style>
  <w:style w:type="character" w:styleId="WW8Num43z0">
    <w:name w:val="WW8Num43z0"/>
    <w:rPr>
      <w:rFonts w:ascii="Symbol" w:hAnsi="Symbol" w:cs="Symbol"/>
      <w:sz w:val="20"/>
      <w:szCs w:val="20"/>
    </w:rPr>
  </w:style>
  <w:style w:type="character" w:styleId="WW8Num43z1">
    <w:name w:val="WW8Num43z1"/>
    <w:rPr>
      <w:rFonts w:ascii="Courier New" w:hAnsi="Courier New" w:cs="Courier New"/>
    </w:rPr>
  </w:style>
  <w:style w:type="character" w:styleId="WW8Num43z2">
    <w:name w:val="WW8Num43z2"/>
    <w:rPr>
      <w:rFonts w:ascii="Wingdings" w:hAnsi="Wingdings" w:cs="Wingdings"/>
    </w:rPr>
  </w:style>
  <w:style w:type="character" w:styleId="WW8Num44z0">
    <w:name w:val="WW8Num44z0"/>
    <w:rPr>
      <w:rFonts w:ascii="Symbol" w:hAnsi="Symbol" w:cs="Symbol"/>
    </w:rPr>
  </w:style>
  <w:style w:type="character" w:styleId="WW8Num44z1">
    <w:name w:val="WW8Num44z1"/>
    <w:rPr>
      <w:rFonts w:ascii="Times New Roman" w:hAnsi="Times New Roman" w:eastAsia="Times New Roman" w:cs="Times New Roman"/>
    </w:rPr>
  </w:style>
  <w:style w:type="character" w:styleId="WW8Num44z2">
    <w:name w:val="WW8Num44z2"/>
    <w:rPr>
      <w:rFonts w:ascii="Wingdings" w:hAnsi="Wingdings" w:cs="Wingdings"/>
    </w:rPr>
  </w:style>
  <w:style w:type="character" w:styleId="WW8Num44z4">
    <w:name w:val="WW8Num44z4"/>
    <w:rPr>
      <w:rFonts w:ascii="Courier New" w:hAnsi="Courier New" w:cs="Courier New"/>
    </w:rPr>
  </w:style>
  <w:style w:type="character" w:styleId="WW8Num45z0">
    <w:name w:val="WW8Num45z0"/>
    <w:rPr>
      <w:rFonts w:ascii="Times New Roman" w:hAnsi="Times New Roman" w:eastAsia="Times New Roman" w:cs="Times New Roman"/>
    </w:rPr>
  </w:style>
  <w:style w:type="character" w:styleId="WW8Num45z1">
    <w:name w:val="WW8Num45z1"/>
    <w:rPr>
      <w:rFonts w:ascii="Courier New" w:hAnsi="Courier New" w:cs="Courier New"/>
    </w:rPr>
  </w:style>
  <w:style w:type="character" w:styleId="WW8Num45z2">
    <w:name w:val="WW8Num45z2"/>
    <w:rPr>
      <w:rFonts w:ascii="Wingdings" w:hAnsi="Wingdings" w:cs="Wingdings"/>
    </w:rPr>
  </w:style>
  <w:style w:type="character" w:styleId="WW8Num45z3">
    <w:name w:val="WW8Num45z3"/>
    <w:rPr>
      <w:rFonts w:ascii="Symbol" w:hAnsi="Symbol" w:cs="Symbol"/>
    </w:rPr>
  </w:style>
  <w:style w:type="character" w:styleId="WW8Num46z0">
    <w:name w:val="WW8Num46z0"/>
    <w:rPr>
      <w:rFonts w:ascii="Symbol" w:hAnsi="Symbol" w:cs="Symbol"/>
    </w:rPr>
  </w:style>
  <w:style w:type="character" w:styleId="WW8Num46z1">
    <w:name w:val="WW8Num46z1"/>
    <w:rPr>
      <w:rFonts w:ascii="Courier New" w:hAnsi="Courier New" w:cs="Courier New"/>
    </w:rPr>
  </w:style>
  <w:style w:type="character" w:styleId="WW8Num46z2">
    <w:name w:val="WW8Num46z2"/>
    <w:rPr>
      <w:rFonts w:ascii="Wingdings" w:hAnsi="Wingdings" w:cs="Wingdings"/>
    </w:rPr>
  </w:style>
  <w:style w:type="character" w:styleId="Carpredefinitoparagrafo">
    <w:name w:val="Car. predefinito paragrafo"/>
    <w:rPr/>
  </w:style>
  <w:style w:type="character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styleId="Numerodipagina">
    <w:name w:val="Numero di pagina"/>
    <w:basedOn w:val="Carpredefinitoparagrafo"/>
    <w:rPr>
      <w:rFonts w:cs="Times New Roman"/>
    </w:rPr>
  </w:style>
  <w:style w:type="character" w:styleId="Caratteredellanota">
    <w:name w:val="Carattere della nota"/>
    <w:basedOn w:val="Carpredefinitoparagrafo"/>
    <w:rPr>
      <w:rFonts w:cs="Times New Roman"/>
      <w:vertAlign w:val="superscript"/>
    </w:rPr>
  </w:style>
  <w:style w:type="character" w:styleId="Enfasi">
    <w:name w:val="Enfasi"/>
    <w:basedOn w:val="Carpredefinitoparagrafo"/>
    <w:rPr>
      <w:rFonts w:cs="Times New Roman"/>
      <w:i/>
      <w:iCs/>
    </w:rPr>
  </w:style>
  <w:style w:type="character" w:styleId="TestonotaapidipaginaCarattere">
    <w:name w:val="Testo nota a piè di pagina Carattere"/>
    <w:basedOn w:val="Carpredefinitoparagrafo"/>
    <w:rPr>
      <w:rFonts w:cs="Times New Roman"/>
      <w:lang w:val="it-IT" w:bidi="ar-SA"/>
    </w:rPr>
  </w:style>
  <w:style w:type="character" w:styleId="CarattereCarattere">
    <w:name w:val=" Carattere Carattere"/>
    <w:basedOn w:val="Carpredefinitoparagrafo"/>
    <w:rPr>
      <w:lang w:val="it-IT" w:bidi="ar-SA"/>
    </w:rPr>
  </w:style>
  <w:style w:type="character" w:styleId="PidipaginaCarattere">
    <w:name w:val="Piè di pagina Carattere"/>
    <w:basedOn w:val="Carpredefinitoparagrafo"/>
    <w:rPr>
      <w:sz w:val="24"/>
      <w:szCs w:val="24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enotadichiusura">
    <w:name w:val="Carattere nota di chiusura"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before="0" w:after="12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next w:val="Normal"/>
    <w:pPr>
      <w:tabs>
        <w:tab w:val="right" w:pos="9397" w:leader="none"/>
      </w:tabs>
      <w:overflowPunct w:val="false"/>
      <w:autoSpaceDE w:val="false"/>
      <w:jc w:val="center"/>
      <w:textAlignment w:val="baseline"/>
    </w:pPr>
    <w:rPr>
      <w:b/>
      <w:sz w:val="28"/>
      <w:szCs w:val="20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Indice6">
    <w:name w:val="Indice 6"/>
    <w:basedOn w:val="Normal"/>
    <w:next w:val="Normal"/>
    <w:pPr>
      <w:widowControl w:val="false"/>
      <w:tabs>
        <w:tab w:val="right" w:pos="9360" w:leader="none"/>
      </w:tabs>
      <w:suppressAutoHyphens w:val="true"/>
      <w:ind w:left="720" w:right="0" w:hanging="720"/>
    </w:pPr>
    <w:rPr>
      <w:rFonts w:ascii="Courier New" w:hAnsi="Courier New" w:cs="Courier New"/>
      <w:szCs w:val="20"/>
      <w:lang w:val="en-US"/>
    </w:rPr>
  </w:style>
  <w:style w:type="paragraph" w:styleId="Rientrocorpodeltesto">
    <w:name w:val="Rientro corpo del testo"/>
    <w:basedOn w:val="Normal"/>
    <w:pPr>
      <w:widowControl w:val="false"/>
      <w:tabs>
        <w:tab w:val="left" w:pos="-1440" w:leader="none"/>
        <w:tab w:val="left" w:pos="-720" w:leader="none"/>
        <w:tab w:val="left" w:pos="709" w:leader="none"/>
        <w:tab w:val="left" w:pos="1296" w:leader="none"/>
        <w:tab w:val="left" w:pos="1440" w:leader="none"/>
      </w:tabs>
      <w:suppressAutoHyphens w:val="true"/>
      <w:spacing w:lineRule="auto" w:line="360"/>
      <w:ind w:left="709" w:right="0" w:hanging="709"/>
    </w:pPr>
    <w:rPr>
      <w:szCs w:val="20"/>
    </w:rPr>
  </w:style>
  <w:style w:type="paragraph" w:styleId="Default">
    <w:name w:val="Default"/>
    <w:pPr>
      <w:widowControl w:val="false"/>
      <w:suppressAutoHyphens w:val="true"/>
      <w:autoSpaceDE w:val="false"/>
    </w:pPr>
    <w:rPr>
      <w:rFonts w:ascii="Arial" w:hAnsi="Arial" w:eastAsia="Times New Roman" w:cs="Arial"/>
      <w:color w:val="000000"/>
      <w:sz w:val="24"/>
      <w:szCs w:val="24"/>
      <w:lang w:val="it-IT" w:bidi="ar-SA" w:eastAsia="zh-CN"/>
    </w:rPr>
  </w:style>
  <w:style w:type="paragraph" w:styleId="CM8">
    <w:name w:val="CM8"/>
    <w:basedOn w:val="Default"/>
    <w:next w:val="Default"/>
    <w:pPr>
      <w:spacing w:before="0" w:after="453"/>
    </w:pPr>
    <w:rPr>
      <w:color w:val="000000"/>
    </w:rPr>
  </w:style>
  <w:style w:type="paragraph" w:styleId="CM9">
    <w:name w:val="CM9"/>
    <w:basedOn w:val="Default"/>
    <w:next w:val="Default"/>
    <w:pPr>
      <w:spacing w:before="0" w:after="298"/>
    </w:pPr>
    <w:rPr>
      <w:color w:val="000000"/>
    </w:rPr>
  </w:style>
  <w:style w:type="paragraph" w:styleId="CM10">
    <w:name w:val="CM10"/>
    <w:basedOn w:val="Default"/>
    <w:next w:val="Default"/>
    <w:pPr>
      <w:spacing w:before="0" w:after="210"/>
    </w:pPr>
    <w:rPr>
      <w:color w:val="000000"/>
    </w:rPr>
  </w:style>
  <w:style w:type="paragraph" w:styleId="CM11">
    <w:name w:val="CM11"/>
    <w:basedOn w:val="Default"/>
    <w:next w:val="Default"/>
    <w:pPr>
      <w:spacing w:before="0" w:after="660"/>
    </w:pPr>
    <w:rPr>
      <w:color w:val="000000"/>
    </w:rPr>
  </w:style>
  <w:style w:type="paragraph" w:styleId="NormaleWeb">
    <w:name w:val="Normale (Web)"/>
    <w:basedOn w:val="Normal"/>
    <w:pPr>
      <w:spacing w:before="280" w:after="280"/>
    </w:pPr>
    <w:rPr>
      <w:rFonts w:ascii="Verdana" w:hAnsi="Verdana" w:cs="Trebuchet MS"/>
      <w:color w:val="000000"/>
      <w:sz w:val="20"/>
      <w:szCs w:val="20"/>
    </w:rPr>
  </w:style>
  <w:style w:type="paragraph" w:styleId="Pidipagina">
    <w:name w:val="Piè di pagina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rmale3">
    <w:name w:val="Normale+3"/>
    <w:basedOn w:val="Default"/>
    <w:next w:val="Default"/>
    <w:pPr>
      <w:widowControl/>
    </w:pPr>
    <w:rPr>
      <w:rFonts w:ascii="Times New Roman" w:hAnsi="Times New Roman" w:cs="Times New Roman"/>
      <w:color w:val="000000"/>
    </w:rPr>
  </w:style>
  <w:style w:type="paragraph" w:styleId="Corpodeltesto3">
    <w:name w:val="Corpo del testo 3"/>
    <w:basedOn w:val="Normal"/>
    <w:pPr>
      <w:spacing w:before="0" w:after="120"/>
    </w:pPr>
    <w:rPr>
      <w:sz w:val="16"/>
      <w:szCs w:val="16"/>
    </w:rPr>
  </w:style>
  <w:style w:type="paragraph" w:styleId="Testocommento">
    <w:name w:val="Testo commento"/>
    <w:basedOn w:val="Normal"/>
    <w:pPr/>
    <w:rPr>
      <w:sz w:val="20"/>
      <w:szCs w:val="20"/>
    </w:rPr>
  </w:style>
  <w:style w:type="paragraph" w:styleId="Testonormale">
    <w:name w:val="Testo normale"/>
    <w:basedOn w:val="Normal"/>
    <w:pPr/>
    <w:rPr>
      <w:rFonts w:ascii="Courier New" w:hAnsi="Courier New" w:cs="Courier New"/>
      <w:sz w:val="20"/>
      <w:szCs w:val="20"/>
    </w:rPr>
  </w:style>
  <w:style w:type="paragraph" w:styleId="Intestazione">
    <w:name w:val="Intestazione"/>
    <w:basedOn w:val="Normal"/>
    <w:pPr>
      <w:tabs>
        <w:tab w:val="center" w:pos="4819" w:leader="none"/>
        <w:tab w:val="right" w:pos="9638" w:leader="none"/>
      </w:tabs>
    </w:pPr>
    <w:rPr>
      <w:szCs w:val="20"/>
    </w:rPr>
  </w:style>
  <w:style w:type="paragraph" w:styleId="Testofumetto">
    <w:name w:val="Testo fumetto"/>
    <w:basedOn w:val="Normal"/>
    <w:pPr/>
    <w:rPr>
      <w:rFonts w:ascii="Tahoma" w:hAnsi="Tahoma" w:cs="Tahoma"/>
      <w:sz w:val="16"/>
      <w:szCs w:val="16"/>
    </w:rPr>
  </w:style>
  <w:style w:type="paragraph" w:styleId="Notaapidipagina">
    <w:name w:val="Nota a piè di pagina"/>
    <w:basedOn w:val="Normal"/>
    <w:pPr/>
    <w:rPr>
      <w:sz w:val="20"/>
      <w:szCs w:val="20"/>
    </w:rPr>
  </w:style>
  <w:style w:type="paragraph" w:styleId="Contenutocornice">
    <w:name w:val="Contenuto cornice"/>
    <w:basedOn w:val="Normal"/>
    <w:pPr/>
    <w:rPr/>
  </w:style>
  <w:style w:type="paragraph" w:styleId="Contenutotabella">
    <w:name w:val="Contenuto tabella"/>
    <w:basedOn w:val="Normal"/>
    <w:pPr>
      <w:suppressLineNumbers/>
    </w:pPr>
    <w:rPr/>
  </w:style>
  <w:style w:type="paragraph" w:styleId="Titolotabella">
    <w:name w:val="Titolo tabella"/>
    <w:basedOn w:val="Contenutotabella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7">
    <w:name w:val="WW8Num17"/>
  </w:style>
  <w:style w:type="numbering" w:styleId="WW8Num18">
    <w:name w:val="WW8Num18"/>
  </w:style>
  <w:style w:type="numbering" w:styleId="WW8Num19">
    <w:name w:val="WW8Num19"/>
  </w:style>
  <w:style w:type="numbering" w:styleId="WW8Num20">
    <w:name w:val="WW8Num20"/>
  </w:style>
  <w:style w:type="numbering" w:styleId="WW8Num21">
    <w:name w:val="WW8Num21"/>
  </w:style>
  <w:style w:type="numbering" w:styleId="WW8Num22">
    <w:name w:val="WW8Num22"/>
  </w:style>
  <w:style w:type="numbering" w:styleId="WW8Num23">
    <w:name w:val="WW8Num23"/>
  </w:style>
  <w:style w:type="numbering" w:styleId="WW8Num24">
    <w:name w:val="WW8Num24"/>
  </w:style>
  <w:style w:type="numbering" w:styleId="WW8Num25">
    <w:name w:val="WW8Num25"/>
  </w:style>
  <w:style w:type="numbering" w:styleId="WW8Num26">
    <w:name w:val="WW8Num26"/>
  </w:style>
  <w:style w:type="numbering" w:styleId="WW8Num27">
    <w:name w:val="WW8Num27"/>
  </w:style>
  <w:style w:type="numbering" w:styleId="WW8Num28">
    <w:name w:val="WW8Num28"/>
  </w:style>
  <w:style w:type="numbering" w:styleId="WW8Num29">
    <w:name w:val="WW8Num29"/>
  </w:style>
  <w:style w:type="numbering" w:styleId="WW8Num30">
    <w:name w:val="WW8Num30"/>
  </w:style>
  <w:style w:type="numbering" w:styleId="WW8Num31">
    <w:name w:val="WW8Num31"/>
  </w:style>
  <w:style w:type="numbering" w:styleId="WW8Num32">
    <w:name w:val="WW8Num32"/>
  </w:style>
  <w:style w:type="numbering" w:styleId="WW8Num33">
    <w:name w:val="WW8Num33"/>
  </w:style>
  <w:style w:type="numbering" w:styleId="WW8Num34">
    <w:name w:val="WW8Num34"/>
  </w:style>
  <w:style w:type="numbering" w:styleId="WW8Num35">
    <w:name w:val="WW8Num35"/>
  </w:style>
  <w:style w:type="numbering" w:styleId="WW8Num36">
    <w:name w:val="WW8Num36"/>
  </w:style>
  <w:style w:type="numbering" w:styleId="WW8Num37">
    <w:name w:val="WW8Num37"/>
  </w:style>
  <w:style w:type="numbering" w:styleId="WW8Num38">
    <w:name w:val="WW8Num38"/>
  </w:style>
  <w:style w:type="numbering" w:styleId="WW8Num39">
    <w:name w:val="WW8Num39"/>
  </w:style>
  <w:style w:type="numbering" w:styleId="WW8Num40">
    <w:name w:val="WW8Num40"/>
  </w:style>
  <w:style w:type="numbering" w:styleId="WW8Num41">
    <w:name w:val="WW8Num41"/>
  </w:style>
  <w:style w:type="numbering" w:styleId="WW8Num42">
    <w:name w:val="WW8Num42"/>
  </w:style>
  <w:style w:type="numbering" w:styleId="WW8Num43">
    <w:name w:val="WW8Num43"/>
  </w:style>
  <w:style w:type="numbering" w:styleId="WW8Num44">
    <w:name w:val="WW8Num44"/>
  </w:style>
  <w:style w:type="numbering" w:styleId="WW8Num45">
    <w:name w:val="WW8Num45"/>
  </w:style>
  <w:style w:type="numbering" w:styleId="WW8Num46">
    <w:name w:val="WW8Num46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2012-12-17T11:36:00Z</dcterms:created>
  <dc:creator>Diego De Merich</dc:creator>
  <dc:language>it-IT</dc:language>
  <cp:lastModifiedBy>cvatrano</cp:lastModifiedBy>
  <cp:lastPrinted>2012-12-04T10:29:00Z</cp:lastPrinted>
  <dcterms:modified xsi:type="dcterms:W3CDTF">2012-12-17T11:36:00Z</dcterms:modified>
  <cp:revision>2</cp:revision>
  <dc:title>Pacchetto informativo di supporto alla valutazione dei rischi standardizzata nelle piccole imprese</dc:title>
</cp:coreProperties>
</file>